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3B" w:rsidRPr="007F7CE2" w:rsidRDefault="00A2463B" w:rsidP="007F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CE2">
        <w:rPr>
          <w:rStyle w:val="hps"/>
          <w:rFonts w:ascii="Times New Roman" w:hAnsi="Times New Roman"/>
          <w:b/>
          <w:color w:val="222222"/>
          <w:sz w:val="24"/>
          <w:szCs w:val="24"/>
        </w:rPr>
        <w:t>Zřeknutí se odpovědnosti: tento dokument a informace v něm obsažené nejsou právním názorem ani nepředstavují právně závazný dokument.</w:t>
      </w:r>
      <w:r w:rsidRPr="007F7CE2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7F7CE2">
        <w:rPr>
          <w:rStyle w:val="hps"/>
          <w:rFonts w:ascii="Times New Roman" w:hAnsi="Times New Roman"/>
          <w:b/>
          <w:color w:val="222222"/>
          <w:sz w:val="24"/>
          <w:szCs w:val="24"/>
        </w:rPr>
        <w:t xml:space="preserve">Jakékoliv nároky třetích stran vzniklé v souvislosti s touto zprávou jsou, rovněž i v případě zákonného předání, vyloučeny. </w:t>
      </w: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4BC" w:rsidRPr="007F7CE2" w:rsidRDefault="004474BC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AE7" w:rsidRPr="007F7CE2" w:rsidRDefault="00884638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„</w:t>
      </w:r>
      <w:r w:rsidR="00723647" w:rsidRPr="007F7CE2">
        <w:rPr>
          <w:rFonts w:ascii="Times New Roman" w:hAnsi="Times New Roman" w:cs="Times New Roman"/>
          <w:b/>
          <w:color w:val="000000"/>
          <w:sz w:val="28"/>
          <w:szCs w:val="28"/>
        </w:rPr>
        <w:t>Bílá kniha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</w:p>
    <w:p w:rsidR="00850EEF" w:rsidRPr="007F7CE2" w:rsidRDefault="00850EEF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92E" w:rsidRPr="007F7CE2" w:rsidRDefault="00B54AE7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Soudní spor </w:t>
      </w:r>
      <w:r w:rsidR="00723647" w:rsidRPr="007F7CE2">
        <w:rPr>
          <w:rFonts w:ascii="Times New Roman" w:hAnsi="Times New Roman" w:cs="Times New Roman"/>
          <w:b/>
          <w:color w:val="000000"/>
          <w:sz w:val="28"/>
          <w:szCs w:val="28"/>
        </w:rPr>
        <w:t>vedený Českou republikou</w:t>
      </w:r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(Úřad pro zastupování státu ve věcech majetkových) proti Nadaci knížete z </w:t>
      </w:r>
      <w:proofErr w:type="spellStart"/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>Li</w:t>
      </w:r>
      <w:r w:rsidR="00330AEF" w:rsidRPr="007F7CE2">
        <w:rPr>
          <w:rFonts w:ascii="Times New Roman" w:hAnsi="Times New Roman" w:cs="Times New Roman"/>
          <w:b/>
          <w:color w:val="000000"/>
          <w:sz w:val="28"/>
          <w:szCs w:val="28"/>
        </w:rPr>
        <w:t>chtenštejna</w:t>
      </w:r>
      <w:proofErr w:type="spellEnd"/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A47EDD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4BC" w:rsidRPr="007F7CE2" w:rsidRDefault="004474BC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4BC" w:rsidRPr="007F7CE2" w:rsidRDefault="004474BC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4BC" w:rsidRPr="007F7CE2" w:rsidRDefault="004474BC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4BC" w:rsidRPr="007F7CE2" w:rsidRDefault="004474BC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4BC" w:rsidRPr="007F7CE2" w:rsidRDefault="004474BC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4BC" w:rsidRPr="007F7CE2" w:rsidRDefault="004474BC" w:rsidP="007F7C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EDD" w:rsidRPr="007F7CE2" w:rsidRDefault="004474BC" w:rsidP="007F7CE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>Praha, 11. listopadu 2015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4949336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5A8E" w:rsidRPr="007F7CE2" w:rsidRDefault="004D5A8E" w:rsidP="007F7CE2">
          <w:pPr>
            <w:pStyle w:val="Nadpisobsahu"/>
            <w:spacing w:line="360" w:lineRule="auto"/>
            <w:ind w:right="-142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F7CE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Obsah</w:t>
          </w:r>
        </w:p>
        <w:p w:rsidR="004474BC" w:rsidRPr="007F7CE2" w:rsidRDefault="004474BC" w:rsidP="007F7CE2">
          <w:pPr>
            <w:spacing w:line="360" w:lineRule="auto"/>
            <w:rPr>
              <w:lang w:eastAsia="de-DE"/>
            </w:rPr>
          </w:pPr>
        </w:p>
        <w:p w:rsidR="0098196E" w:rsidRDefault="00277095">
          <w:pPr>
            <w:pStyle w:val="Obsah1"/>
            <w:rPr>
              <w:noProof/>
            </w:rPr>
          </w:pPr>
          <w:r w:rsidRPr="00277095">
            <w:fldChar w:fldCharType="begin"/>
          </w:r>
          <w:r w:rsidR="004D5A8E" w:rsidRPr="007F7CE2">
            <w:instrText xml:space="preserve"> TOC \o "1-3" \h \z \u </w:instrText>
          </w:r>
          <w:r w:rsidRPr="00277095">
            <w:fldChar w:fldCharType="separate"/>
          </w:r>
          <w:hyperlink w:anchor="_Toc434922122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I.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Soudní proces vyvolaný Úřadem pro zastupování státu ve věcech majetkových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23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II.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Konzistentní odhodlání Lichtenštejnska (opětovně) rozvíjet přátelské politické vztahy s</w:t>
            </w:r>
            <w:r w:rsidR="00884638">
              <w:rPr>
                <w:rStyle w:val="Hypertextovodkaz"/>
                <w:rFonts w:ascii="Times New Roman" w:hAnsi="Times New Roman" w:cs="Times New Roman"/>
                <w:b/>
                <w:noProof/>
              </w:rPr>
              <w:t> </w:t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Českou republikou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24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III.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Argumenty českého Úřadu pro zastupování státu ve věcech majetkových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25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IV.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Argumenty žalované Nadace knížete z Lichtenštejna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26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V.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Benešovy dekrety jako právní základ pro soudní spor českého státu s Nadací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27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VI.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 xml:space="preserve">Lichtenštejni jako </w:t>
            </w:r>
            <w:r w:rsidR="00884638">
              <w:rPr>
                <w:rStyle w:val="Hypertextovodkaz"/>
                <w:rFonts w:ascii="Times New Roman" w:hAnsi="Times New Roman" w:cs="Times New Roman"/>
                <w:b/>
                <w:noProof/>
              </w:rPr>
              <w:t>„</w:t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zrádci a kolaboranti</w:t>
            </w:r>
            <w:r w:rsidR="00884638">
              <w:rPr>
                <w:rStyle w:val="Hypertextovodkaz"/>
                <w:rFonts w:ascii="Times New Roman" w:hAnsi="Times New Roman" w:cs="Times New Roman"/>
                <w:b/>
                <w:noProof/>
              </w:rPr>
              <w:t>“</w:t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?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28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VII.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Údajná německá národnost Lichtenštejnů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29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VIII.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 xml:space="preserve">Přehled takzvaných </w:t>
            </w:r>
            <w:r w:rsidR="00884638">
              <w:rPr>
                <w:rStyle w:val="Hypertextovodkaz"/>
                <w:rFonts w:ascii="Times New Roman" w:hAnsi="Times New Roman" w:cs="Times New Roman"/>
                <w:b/>
                <w:noProof/>
              </w:rPr>
              <w:t>„</w:t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právních faktů</w:t>
            </w:r>
            <w:r w:rsidR="00884638">
              <w:rPr>
                <w:rStyle w:val="Hypertextovodkaz"/>
                <w:rFonts w:ascii="Times New Roman" w:hAnsi="Times New Roman" w:cs="Times New Roman"/>
                <w:b/>
                <w:noProof/>
              </w:rPr>
              <w:t>“</w:t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 xml:space="preserve"> založených v letech 1945 až 1951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30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IX.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Mezinárodněprávní aspekt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31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X.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Oblíbené stereotypy, jež byly motivem ke konfiskaci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6E" w:rsidRDefault="00277095">
          <w:pPr>
            <w:pStyle w:val="Obsah1"/>
            <w:rPr>
              <w:noProof/>
            </w:rPr>
          </w:pPr>
          <w:hyperlink w:anchor="_Toc434922132" w:history="1"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XI.</w:t>
            </w:r>
            <w:r w:rsidR="0098196E">
              <w:rPr>
                <w:noProof/>
              </w:rPr>
              <w:tab/>
            </w:r>
            <w:r w:rsidR="0098196E" w:rsidRPr="00FB7324">
              <w:rPr>
                <w:rStyle w:val="Hypertextovodkaz"/>
                <w:rFonts w:ascii="Times New Roman" w:hAnsi="Times New Roman" w:cs="Times New Roman"/>
                <w:b/>
                <w:noProof/>
              </w:rPr>
              <w:t>Přílohy</w:t>
            </w:r>
            <w:r w:rsidR="009819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96E">
              <w:rPr>
                <w:noProof/>
                <w:webHidden/>
              </w:rPr>
              <w:instrText xml:space="preserve"> PAGEREF _Toc434922132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9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A8E" w:rsidRPr="007F7CE2" w:rsidRDefault="00277095" w:rsidP="007F7CE2">
          <w:pPr>
            <w:spacing w:line="360" w:lineRule="auto"/>
          </w:pPr>
          <w:r w:rsidRPr="007F7CE2">
            <w:rPr>
              <w:b/>
              <w:bCs/>
            </w:rPr>
            <w:fldChar w:fldCharType="end"/>
          </w:r>
        </w:p>
      </w:sdtContent>
    </w:sdt>
    <w:p w:rsidR="00A47EDD" w:rsidRPr="007F7CE2" w:rsidRDefault="00A47EDD" w:rsidP="007F7CE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AD229B" w:rsidRPr="007F7CE2" w:rsidRDefault="00AD229B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4182" w:rsidRPr="007F7CE2" w:rsidRDefault="00FE192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listopadu 2015 začal Okresní soud pro Prahu-východ projednávat </w:t>
      </w:r>
      <w:r w:rsidR="004E7347" w:rsidRPr="007F7CE2">
        <w:rPr>
          <w:rFonts w:ascii="Times New Roman" w:hAnsi="Times New Roman" w:cs="Times New Roman"/>
          <w:b/>
          <w:color w:val="000000"/>
          <w:sz w:val="28"/>
          <w:szCs w:val="28"/>
        </w:rPr>
        <w:t>žalobu</w:t>
      </w:r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České republiky (Úřadu pro zastupování státu ve věcech majetkových) proti Nadaci knížete z </w:t>
      </w:r>
      <w:proofErr w:type="spellStart"/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>Lichtenštejna</w:t>
      </w:r>
      <w:proofErr w:type="spellEnd"/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Proč? </w:t>
      </w:r>
    </w:p>
    <w:p w:rsidR="002507AF" w:rsidRPr="007F7CE2" w:rsidRDefault="002507AF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34922122"/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>Soudní proces vyvolaný Úřadem pro zastupování státu ve věcech majetkových</w:t>
      </w:r>
      <w:bookmarkEnd w:id="0"/>
    </w:p>
    <w:p w:rsidR="004E7347" w:rsidRPr="007F7CE2" w:rsidRDefault="004E7347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7AF" w:rsidRPr="007F7CE2" w:rsidRDefault="00723647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V březnu 2014 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podala 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Česká republika zastoupená Úřadem pro zastupování státu ve věcech majetkových 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bez předchozího upozornění 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>žalobu na Nadaci knížete z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>Lichtenštejna</w:t>
      </w:r>
      <w:proofErr w:type="spellEnd"/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>. Nadace je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soukromý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subjekt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>em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, který spravuje část majetku knížecí rodiny. Předmětem žaloby českého státu je určení vlastnictví pozemků nedaleko Prahy, které jsou v katastru nemovitostí 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registrovány 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na jméno Nadace. </w:t>
      </w:r>
    </w:p>
    <w:p w:rsidR="00FD6585" w:rsidRPr="007F7CE2" w:rsidRDefault="00FD6585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4182" w:rsidRPr="007F7CE2" w:rsidRDefault="00DB1BE1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t>Poté, co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Nadace 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zjistila, že jsou v katastru nemovitostí zapsány pozemkové parcely o celkové výměře 600 hektarů ležící na východ od Prahy na jméno svého právního předchůdce, požádala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v roce 2013 </w:t>
      </w:r>
      <w:r w:rsidR="00D252B6" w:rsidRPr="007F7CE2">
        <w:rPr>
          <w:rFonts w:ascii="Times New Roman" w:hAnsi="Times New Roman" w:cs="Times New Roman"/>
          <w:color w:val="000000"/>
          <w:sz w:val="28"/>
          <w:szCs w:val="28"/>
        </w:rPr>
        <w:t>jako právoplatný dědic knížete Františka Josefa II</w:t>
      </w:r>
      <w:r w:rsidR="00330AE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>o zapsání těchto parcel na svoje jméno. Okresní soud pro Prahu-východ uznal žádost Nadace jako platnou, potvrdil dědictví pozemků a Katastrální úřad pro Prahu-východ zápis v roce 2013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provedl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Úřad pro zastupování státu ve věcech majetkových podal po to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to zápisu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na Nadaci žalobu</w:t>
      </w:r>
      <w:r w:rsidR="002507AF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07AF" w:rsidRPr="007F7CE2" w:rsidRDefault="004703DD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4922123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Konzistentní</w:t>
      </w:r>
      <w:r w:rsidR="00C25212" w:rsidRPr="007F7C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odhodlání Lichtenštejnska (opětovně) rozvíjet přátelské politické vztahy s Českou republikou</w:t>
      </w:r>
      <w:bookmarkEnd w:id="1"/>
    </w:p>
    <w:p w:rsidR="00330AEF" w:rsidRPr="007F7CE2" w:rsidRDefault="00330AEF" w:rsidP="007F7CE2">
      <w:pPr>
        <w:spacing w:line="360" w:lineRule="auto"/>
      </w:pPr>
    </w:p>
    <w:p w:rsidR="00FE192E" w:rsidRPr="007F7CE2" w:rsidRDefault="00FE192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Ačkoli lichtenštejnský kníže Hans Adam II. nikdy neuznal konfiskaci lichtenštejnského majetku v roce 1945 za spravedlivou a zákonnou, </w:t>
      </w:r>
      <w:r w:rsidR="00AE15A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po roce 1989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nikdy neměl v úmyslu řešit tento případ před soudem. Místo toho zůstával otevřený alternativní formě politického urovnání a usmíření prospěšného oběma </w:t>
      </w:r>
      <w:r w:rsidR="00330AEF" w:rsidRPr="007F7CE2">
        <w:rPr>
          <w:rFonts w:ascii="Times New Roman" w:hAnsi="Times New Roman" w:cs="Times New Roman"/>
          <w:color w:val="000000"/>
          <w:sz w:val="28"/>
          <w:szCs w:val="28"/>
        </w:rPr>
        <w:t>stranám.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Toto stanovisko bylo v uplynulých letech několikrát jasně veřejně formulováno. </w:t>
      </w:r>
      <w:r w:rsidRPr="007F7CE2">
        <w:rPr>
          <w:rStyle w:val="Znakapoznpodarou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Jako hlava státu plně podpořil společné prohlášení české a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lichtenštejnské vlády v roce 2009 o o</w:t>
      </w:r>
      <w:r w:rsidR="00AE15A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bnovení diplomatických vztahů, o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rozvoji hospodářských, kulturních a politických vztahů a </w:t>
      </w:r>
      <w:r w:rsidR="00AE15A6"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ustavení společné komise historiků.</w:t>
      </w:r>
      <w:r w:rsidRPr="007F7CE2">
        <w:rPr>
          <w:rStyle w:val="Znakapoznpodarou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192E" w:rsidRPr="007F7CE2" w:rsidRDefault="00EA1705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Toc434922124"/>
      <w:r w:rsidRPr="007F7CE2">
        <w:rPr>
          <w:rFonts w:ascii="Times New Roman" w:hAnsi="Times New Roman" w:cs="Times New Roman"/>
          <w:b/>
          <w:color w:val="000000"/>
          <w:sz w:val="28"/>
          <w:szCs w:val="28"/>
        </w:rPr>
        <w:t>Argumenty českého Úřadu pro zastupování státu ve věcech majetkových</w:t>
      </w:r>
      <w:bookmarkEnd w:id="2"/>
    </w:p>
    <w:p w:rsidR="009302D3" w:rsidRPr="007F7CE2" w:rsidRDefault="009302D3" w:rsidP="007F7CE2">
      <w:pPr>
        <w:spacing w:line="360" w:lineRule="auto"/>
      </w:pPr>
    </w:p>
    <w:p w:rsidR="00FE192E" w:rsidRPr="007F7CE2" w:rsidRDefault="00FE192E" w:rsidP="007F7C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t>Česká republika je vlastníkem nemovitostí na základě konfiskace lichtenštejnského majetku dle tzv. Benešových dekretů be</w:t>
      </w:r>
      <w:r w:rsidR="00330AEF" w:rsidRPr="007F7CE2">
        <w:rPr>
          <w:rFonts w:ascii="Times New Roman" w:hAnsi="Times New Roman" w:cs="Times New Roman"/>
          <w:color w:val="000000"/>
          <w:sz w:val="28"/>
          <w:szCs w:val="28"/>
        </w:rPr>
        <w:t>z ohledu na aktuální záznamy v k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atastru nemovitostí.  </w:t>
      </w:r>
    </w:p>
    <w:p w:rsidR="00CB4BF9" w:rsidRPr="007F7CE2" w:rsidRDefault="00FE192E" w:rsidP="007F7C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Je údajně </w:t>
      </w:r>
      <w:r w:rsidRPr="007F7C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právním faktem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, že majetek </w:t>
      </w:r>
      <w:proofErr w:type="spellStart"/>
      <w:r w:rsidRPr="007F7CE2">
        <w:rPr>
          <w:rFonts w:ascii="Times New Roman" w:hAnsi="Times New Roman" w:cs="Times New Roman"/>
          <w:color w:val="000000"/>
          <w:sz w:val="28"/>
          <w:szCs w:val="28"/>
        </w:rPr>
        <w:t>Lichtenštejnů</w:t>
      </w:r>
      <w:proofErr w:type="spellEnd"/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byl na území tehdejšího Československa zko</w:t>
      </w:r>
      <w:r w:rsidR="00330AEF" w:rsidRPr="007F7CE2">
        <w:rPr>
          <w:rFonts w:ascii="Times New Roman" w:hAnsi="Times New Roman" w:cs="Times New Roman"/>
          <w:color w:val="000000"/>
          <w:sz w:val="28"/>
          <w:szCs w:val="28"/>
        </w:rPr>
        <w:t>nfiskován, a to jmenovitě Františku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Josef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ovi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II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pro jeho německou národnost, k níž se prý přihlásil při sčítání lidu v roce 1930. </w:t>
      </w:r>
    </w:p>
    <w:p w:rsidR="0082230B" w:rsidRPr="007F7CE2" w:rsidRDefault="004E384E" w:rsidP="007F7C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t>Z tohoto důvodu český stát tvrdí, že po konfiskaci neexistuje žádný majetek, který by mohl být předmětem dědictví.</w:t>
      </w:r>
    </w:p>
    <w:p w:rsidR="0082230B" w:rsidRPr="007F7CE2" w:rsidRDefault="00EA1705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4922125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Argumenty žalované Nadace knížete z </w:t>
      </w:r>
      <w:proofErr w:type="spellStart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Lichtenštejna</w:t>
      </w:r>
      <w:bookmarkEnd w:id="3"/>
      <w:proofErr w:type="spellEnd"/>
    </w:p>
    <w:p w:rsidR="00CB4BF9" w:rsidRPr="007F7CE2" w:rsidRDefault="00CB4BF9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5E47" w:rsidRPr="007F7CE2" w:rsidRDefault="00330AEF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Nadace žádá zamítnout 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žalobu</w:t>
      </w:r>
      <w:r w:rsidR="00555E47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z následujících důvodů:</w:t>
      </w:r>
    </w:p>
    <w:p w:rsidR="00CB4BF9" w:rsidRPr="007F7CE2" w:rsidRDefault="00CB4BF9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230B" w:rsidRPr="007F7CE2" w:rsidRDefault="0082230B" w:rsidP="007F7C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Nadace je právoplatným dědicem po Fra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ntišku Josef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ovi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II., knížeti z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Lichtenštejna</w:t>
      </w:r>
      <w:proofErr w:type="spellEnd"/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 jeho vlastnictví k nemovitostem je nepochybné. </w:t>
      </w:r>
    </w:p>
    <w:p w:rsidR="0082230B" w:rsidRPr="007F7CE2" w:rsidRDefault="00CB4BF9" w:rsidP="007F7C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Ani </w:t>
      </w:r>
      <w:r w:rsidR="0082230B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František Josef II.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2230B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ani jeho otec se v roce 1930 neúčastnili sčítání lidu</w:t>
      </w:r>
      <w:r w:rsidR="0082230B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2230B" w:rsidRPr="007F7CE2" w:rsidRDefault="0082230B" w:rsidP="007F7C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 tohoto důvodu nemohly být Benešovy dekrety nikdy právoplatně uplatněny na žalovanou 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stranu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ani 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na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jejího právního předchůdce 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Františka Josefa II. </w:t>
      </w:r>
    </w:p>
    <w:p w:rsidR="0082230B" w:rsidRPr="007F7CE2" w:rsidRDefault="0082230B" w:rsidP="007F7C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Dříve vydaná správní a soudní rozhodnutí o konfiskaci jsou v rozporu s tehdy platnými právními předpisy a je třeba na ně nahlížet jako na neplatná. Důvody jsou krom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ě jiného flagrantní vady řízení, stejně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jako zadržování 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klíčových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důkazů.</w:t>
      </w:r>
    </w:p>
    <w:p w:rsidR="0082230B" w:rsidRPr="007F7CE2" w:rsidRDefault="0082230B" w:rsidP="007F7C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Dříve vydaná správní a soudní rozhodnutí o konfiskaci jsou v rozporu s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mezinárodním právem. </w:t>
      </w:r>
    </w:p>
    <w:p w:rsidR="00555E47" w:rsidRDefault="0082230B" w:rsidP="007F7C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Rozhodnutí Okresního soudu pro Prahu-východ 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 roku 2013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zápisu pozemků ve prospěch žalované 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strany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je rozhodnutím pravomocným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je tedy pro soudy i jiné orgány právně závazné.</w:t>
      </w:r>
    </w:p>
    <w:p w:rsidR="00B013D9" w:rsidRPr="007F7CE2" w:rsidRDefault="00B013D9" w:rsidP="00B013D9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6F09" w:rsidRPr="007F7CE2" w:rsidRDefault="009A6F09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34922126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Benešovy dekrety jako právní základ pro soudní spor českého státu s</w:t>
      </w:r>
      <w:r w:rsidR="00CB4BF9" w:rsidRPr="007F7CE2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Nadací</w:t>
      </w:r>
      <w:bookmarkEnd w:id="4"/>
    </w:p>
    <w:p w:rsidR="007F7CE2" w:rsidRPr="007F7CE2" w:rsidRDefault="009A6F09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Dekrety prezidenta republiky, běžné známé jako Benešovy dekrety, byly řadou zákonů, které vydal československý prezident </w:t>
      </w:r>
      <w:hyperlink r:id="rId8" w:tooltip="Edvard Beneš" w:history="1">
        <w:r w:rsidRPr="007F7CE2">
          <w:rPr>
            <w:rFonts w:ascii="Times New Roman" w:hAnsi="Times New Roman" w:cs="Times New Roman"/>
            <w:bCs/>
            <w:color w:val="000000"/>
            <w:sz w:val="28"/>
            <w:szCs w:val="28"/>
          </w:rPr>
          <w:t>Edvard Beneš</w:t>
        </w:r>
      </w:hyperlink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 roce 1945. Dekrety řešily různé aspekty znovunastolení Československa a jeho právního systému, denacifikace a obnovy země. Konkrétně byly dekrety právním rámce</w:t>
      </w:r>
      <w:r w:rsidR="00CB4BF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m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pro ztrát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u občanství a konfiskaci majetku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F7CE2" w:rsidRPr="007F7CE2" w:rsidRDefault="007F7CE2" w:rsidP="007F7CE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„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z</w:t>
      </w:r>
      <w:r w:rsidR="0088463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rádců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a kolaborantů“, tedy těch, kteří konali proti suverenitě, nezávislosti, integritě, demokratické a republikánské organizaci, bezpečnosti a obraně Československé republiky (Dekret č. 5)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7F7CE2" w:rsidRPr="007F7CE2" w:rsidRDefault="007F7CE2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53AA" w:rsidRPr="007F7CE2" w:rsidRDefault="00884638" w:rsidP="007F7CE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„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Němců a Maďarů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tzn. těch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, kteří se přihlásili k německému nebo maďarskému občanství v průběhu okupace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nebo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těch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kteří 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se přihlásili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k 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německ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é či 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maďarsk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é etnicitě/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národnost</w:t>
      </w:r>
      <w:r w:rsidR="007F7CE2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i při s</w:t>
      </w:r>
      <w:r w:rsidR="009A6F09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čítání lidu v roce 1930.</w:t>
      </w:r>
      <w:r w:rsidR="009A6F09" w:rsidRPr="007F7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F7CE2" w:rsidRPr="007F7CE2" w:rsidRDefault="007F7CE2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34922127"/>
      <w:proofErr w:type="spellStart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Lichtenštejni</w:t>
      </w:r>
      <w:proofErr w:type="spellEnd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jako </w:t>
      </w:r>
      <w:r w:rsidR="00884638">
        <w:rPr>
          <w:rFonts w:ascii="Times New Roman" w:hAnsi="Times New Roman" w:cs="Times New Roman"/>
          <w:b/>
          <w:color w:val="auto"/>
          <w:sz w:val="28"/>
          <w:szCs w:val="28"/>
        </w:rPr>
        <w:t>„</w:t>
      </w:r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zrádci a kolaboranti</w:t>
      </w:r>
      <w:r w:rsidR="00884638">
        <w:rPr>
          <w:rFonts w:ascii="Times New Roman" w:hAnsi="Times New Roman" w:cs="Times New Roman"/>
          <w:b/>
          <w:color w:val="auto"/>
          <w:sz w:val="28"/>
          <w:szCs w:val="28"/>
        </w:rPr>
        <w:t>“</w:t>
      </w:r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?</w:t>
      </w:r>
      <w:bookmarkEnd w:id="5"/>
    </w:p>
    <w:p w:rsidR="007F7CE2" w:rsidRPr="007F7CE2" w:rsidRDefault="007F7CE2" w:rsidP="007F7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Ani</w:t>
      </w:r>
      <w:r w:rsidRPr="007F7CE2">
        <w:rPr>
          <w:rFonts w:ascii="Times New Roman" w:hAnsi="Times New Roman" w:cs="Times New Roman"/>
          <w:sz w:val="28"/>
          <w:szCs w:val="28"/>
        </w:rPr>
        <w:t xml:space="preserve"> </w:t>
      </w:r>
      <w:r w:rsidR="00B013D9">
        <w:rPr>
          <w:rFonts w:ascii="Times New Roman" w:hAnsi="Times New Roman" w:cs="Times New Roman"/>
          <w:sz w:val="28"/>
          <w:szCs w:val="28"/>
        </w:rPr>
        <w:t xml:space="preserve">v </w:t>
      </w:r>
      <w:r w:rsidRPr="007F7CE2">
        <w:rPr>
          <w:rFonts w:ascii="Times New Roman" w:hAnsi="Times New Roman" w:cs="Times New Roman"/>
          <w:sz w:val="28"/>
          <w:szCs w:val="28"/>
        </w:rPr>
        <w:t>letech 1945 až 195</w:t>
      </w:r>
      <w:r>
        <w:rPr>
          <w:rFonts w:ascii="Times New Roman" w:hAnsi="Times New Roman" w:cs="Times New Roman"/>
          <w:sz w:val="28"/>
          <w:szCs w:val="28"/>
        </w:rPr>
        <w:t xml:space="preserve">1, kdy všechny tehdejší soudní instance projednávaly aplikaci Benešových dekretů na rodinu </w:t>
      </w:r>
      <w:proofErr w:type="spellStart"/>
      <w:r>
        <w:rPr>
          <w:rFonts w:ascii="Times New Roman" w:hAnsi="Times New Roman" w:cs="Times New Roman"/>
          <w:sz w:val="28"/>
          <w:szCs w:val="28"/>
        </w:rPr>
        <w:t>Lichtenštejnů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žádná </w:t>
      </w:r>
      <w:r w:rsidR="00884638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eskoslovenská autorita nikdy nezařadila </w:t>
      </w:r>
      <w:proofErr w:type="spellStart"/>
      <w:r>
        <w:rPr>
          <w:rFonts w:ascii="Times New Roman" w:hAnsi="Times New Roman" w:cs="Times New Roman"/>
          <w:sz w:val="28"/>
          <w:szCs w:val="28"/>
        </w:rPr>
        <w:t>Lichtenštejny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kategorie „zrádců </w:t>
      </w:r>
      <w:r w:rsidR="00884638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eskoslovenského státu“ či kategorie „</w:t>
      </w:r>
      <w:r w:rsidR="00B013D9">
        <w:rPr>
          <w:rFonts w:ascii="Times New Roman" w:hAnsi="Times New Roman" w:cs="Times New Roman"/>
          <w:sz w:val="28"/>
          <w:szCs w:val="28"/>
        </w:rPr>
        <w:t>kolaborantů s nacisty“.</w:t>
      </w:r>
    </w:p>
    <w:p w:rsidR="00A47EDD" w:rsidRPr="007F7CE2" w:rsidRDefault="00A47EDD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34922128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Údajná německá národnost </w:t>
      </w:r>
      <w:proofErr w:type="spellStart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Lichtenštejnů</w:t>
      </w:r>
      <w:bookmarkEnd w:id="6"/>
      <w:proofErr w:type="spellEnd"/>
    </w:p>
    <w:p w:rsidR="00E84F55" w:rsidRPr="007F7CE2" w:rsidRDefault="00B013D9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Jediným právním důvodem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pro uplatnění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Benešových 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dekretů na rodinu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Lichtenštejnů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 roce 1945, který č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eský stát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hájí 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 v </w:t>
      </w:r>
      <w:r w:rsidR="007F7CE2">
        <w:rPr>
          <w:rFonts w:ascii="Times New Roman" w:hAnsi="Times New Roman" w:cs="Times New Roman"/>
          <w:bCs/>
          <w:color w:val="000000"/>
          <w:sz w:val="28"/>
          <w:szCs w:val="28"/>
        </w:rPr>
        <w:t>současném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soudním řízení, bylo údajné přihlášení </w:t>
      </w:r>
      <w:r w:rsidR="004E1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se </w:t>
      </w:r>
      <w:proofErr w:type="spellStart"/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Lichtenštejnů</w:t>
      </w:r>
      <w:proofErr w:type="spellEnd"/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k německé národnosti při 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s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čítání lidu v</w:t>
      </w:r>
      <w:r w:rsidR="004E176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roce 1930.</w:t>
      </w:r>
    </w:p>
    <w:p w:rsidR="00812E00" w:rsidRPr="007F7CE2" w:rsidRDefault="00812E00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Jako odpověď předkládá Nadace knížete z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Lichtenštejna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nezvratný důkaz o tom, že zesnulý kníže František Josef II</w:t>
      </w:r>
      <w:r w:rsidR="004E17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se nikdy sám nepřihlásil k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německé národnosti, ať už p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římo v roce 1930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nebo</w:t>
      </w:r>
      <w:r w:rsidR="0088463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před tím a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nebo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 tom.    </w:t>
      </w:r>
    </w:p>
    <w:p w:rsidR="00E84F55" w:rsidRPr="007F7CE2" w:rsidRDefault="00E84F55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0AEF" w:rsidRPr="007F7CE2" w:rsidRDefault="00E84F55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Proč v roce 1945 </w:t>
      </w:r>
      <w:r w:rsidR="00B01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záleželo</w:t>
      </w:r>
      <w:r w:rsidR="00B013D9" w:rsidRPr="007F7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1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s</w:t>
      </w:r>
      <w:r w:rsidRPr="007F7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čítání lidu z roku 1930? </w:t>
      </w:r>
    </w:p>
    <w:p w:rsidR="00A47EDD" w:rsidRPr="007F7CE2" w:rsidRDefault="00B013D9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Č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eskoslovenské právo neznalo ve 30. letech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minulého století 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žádn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ou přesnou definici národnosti, takže ani v 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roce 1945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nebylo stále 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možné určit národnost na z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ákladě 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„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objektivních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znaků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jakými by mohly být 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fyzická kritéria či mluvený jazyk. Jakýkoliv pokus tohoto typu by připomínal uplatnění principů používaných nacistickým státem k určení 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„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rasy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Tváří </w:t>
      </w:r>
      <w:r w:rsidR="004E1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 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tvář tomuto problému prohlásila československá vláda v roce 1945 </w:t>
      </w:r>
      <w:r w:rsidR="00E84F55" w:rsidRPr="007F7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svobodné osobní prohlášení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učiněné 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„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hlavou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každé domácnosti p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ři 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s</w:t>
      </w:r>
      <w:r w:rsidR="00330AEF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čítání lidu v roce 1930 za</w:t>
      </w:r>
      <w:r w:rsidR="00E84F55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jediný platný identifikátor pro uplatňování dekretů.</w:t>
      </w:r>
    </w:p>
    <w:p w:rsidR="00E84F55" w:rsidRPr="007F7CE2" w:rsidRDefault="00E84F55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4F55" w:rsidRPr="007F7CE2" w:rsidRDefault="00A47EDD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 červnu 1945 Ministerstvo vnitra uvedlo, že </w:t>
      </w:r>
      <w:r w:rsidR="00B94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lichtenštejnský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kníže má národnost</w:t>
      </w:r>
      <w:r w:rsidR="00B94EE0" w:rsidRPr="00B94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4EE0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německou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, nicméně dokument</w:t>
      </w:r>
      <w:r w:rsidR="00B94EE0">
        <w:rPr>
          <w:rFonts w:ascii="Times New Roman" w:hAnsi="Times New Roman" w:cs="Times New Roman"/>
          <w:bCs/>
          <w:color w:val="000000"/>
          <w:sz w:val="28"/>
          <w:szCs w:val="28"/>
        </w:rPr>
        <w:t>, který to měl dokazovat,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nebyl </w:t>
      </w:r>
      <w:r w:rsidR="00B94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ani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českým justičním orgánům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ani právním zástupcům knížete vydán</w:t>
      </w:r>
      <w:r w:rsidR="00B94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Důvod byl jasný: originál sčítacího archu z roku 1930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byl pro účely konfiskace neplatný. Ani kníže</w:t>
      </w:r>
      <w:r w:rsidR="008846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ani žádný jiný člen rodiny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Lichtenštejnů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jej nepodepsal.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Připojená kopie původního sčítacího archu z roku 1930 ukazuje, že podpis na dokumentu patří jistému Karlu </w:t>
      </w:r>
      <w:proofErr w:type="spellStart"/>
      <w:r w:rsidRPr="007F7CE2">
        <w:rPr>
          <w:rFonts w:ascii="Times New Roman" w:hAnsi="Times New Roman" w:cs="Times New Roman"/>
          <w:color w:val="000000"/>
          <w:sz w:val="28"/>
          <w:szCs w:val="28"/>
        </w:rPr>
        <w:t>Loosovi</w:t>
      </w:r>
      <w:proofErr w:type="spellEnd"/>
      <w:r w:rsidRPr="007F7CE2">
        <w:rPr>
          <w:rFonts w:ascii="Times New Roman" w:hAnsi="Times New Roman" w:cs="Times New Roman"/>
          <w:color w:val="000000"/>
          <w:sz w:val="28"/>
          <w:szCs w:val="28"/>
        </w:rPr>
        <w:t>, v té době hajnému na lichtenštejnském panství ve Velkých Losinách, tj. osobě, která vůbec nebyla oprávněna vyplňovat a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podepisovat formulář za knížete.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Z tohoto důvodu je základní argument Úřadu pro zastupování státu ve věcech majetkových pro právoplatnost konfiskace neplatný.</w:t>
      </w:r>
    </w:p>
    <w:p w:rsidR="000D696F" w:rsidRPr="007F7CE2" w:rsidRDefault="00A426CD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34922129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Přehle</w:t>
      </w:r>
      <w:r w:rsidR="00F607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d takzvaných </w:t>
      </w:r>
      <w:r w:rsidR="00884638">
        <w:rPr>
          <w:rFonts w:ascii="Times New Roman" w:hAnsi="Times New Roman" w:cs="Times New Roman"/>
          <w:b/>
          <w:color w:val="auto"/>
          <w:sz w:val="28"/>
          <w:szCs w:val="28"/>
        </w:rPr>
        <w:t>„</w:t>
      </w:r>
      <w:r w:rsidR="00F607F1">
        <w:rPr>
          <w:rFonts w:ascii="Times New Roman" w:hAnsi="Times New Roman" w:cs="Times New Roman"/>
          <w:b/>
          <w:color w:val="auto"/>
          <w:sz w:val="28"/>
          <w:szCs w:val="28"/>
        </w:rPr>
        <w:t>právních faktů</w:t>
      </w:r>
      <w:r w:rsidR="00884638">
        <w:rPr>
          <w:rFonts w:ascii="Times New Roman" w:hAnsi="Times New Roman" w:cs="Times New Roman"/>
          <w:b/>
          <w:color w:val="auto"/>
          <w:sz w:val="28"/>
          <w:szCs w:val="28"/>
        </w:rPr>
        <w:t>“</w:t>
      </w:r>
      <w:r w:rsidR="00F607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založených</w:t>
      </w:r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 letech 1945 a</w:t>
      </w:r>
      <w:r w:rsidR="00F607F1">
        <w:rPr>
          <w:rFonts w:ascii="Times New Roman" w:hAnsi="Times New Roman" w:cs="Times New Roman"/>
          <w:b/>
          <w:color w:val="auto"/>
          <w:sz w:val="28"/>
          <w:szCs w:val="28"/>
        </w:rPr>
        <w:t>ž</w:t>
      </w:r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1951</w:t>
      </w:r>
      <w:bookmarkEnd w:id="7"/>
    </w:p>
    <w:p w:rsidR="00812E00" w:rsidRPr="007F7CE2" w:rsidRDefault="00812E00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V současném sporu český stát tvrdí, že registrace </w:t>
      </w:r>
      <w:proofErr w:type="spellStart"/>
      <w:r w:rsidRPr="007F7CE2">
        <w:rPr>
          <w:rFonts w:ascii="Times New Roman" w:hAnsi="Times New Roman" w:cs="Times New Roman"/>
          <w:color w:val="000000"/>
          <w:sz w:val="28"/>
          <w:szCs w:val="28"/>
        </w:rPr>
        <w:t>Lichtenštejnů</w:t>
      </w:r>
      <w:proofErr w:type="spellEnd"/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jako 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Němců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je 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právní fakt</w:t>
      </w:r>
      <w:r w:rsidR="00884638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zavedený v</w:t>
      </w:r>
      <w:r w:rsidR="00715C79">
        <w:rPr>
          <w:rFonts w:ascii="Times New Roman" w:hAnsi="Times New Roman" w:cs="Times New Roman"/>
          <w:color w:val="000000"/>
          <w:sz w:val="28"/>
          <w:szCs w:val="28"/>
        </w:rPr>
        <w:t xml:space="preserve"> soudních 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>procesech v letech 1945 a</w:t>
      </w:r>
      <w:r w:rsidR="00715C79">
        <w:rPr>
          <w:rFonts w:ascii="Times New Roman" w:hAnsi="Times New Roman" w:cs="Times New Roman"/>
          <w:color w:val="000000"/>
          <w:sz w:val="28"/>
          <w:szCs w:val="28"/>
        </w:rPr>
        <w:t>ž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1951. </w:t>
      </w:r>
    </w:p>
    <w:p w:rsidR="00715C79" w:rsidRDefault="00715C79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705" w:rsidRPr="007F7CE2" w:rsidRDefault="00EA1705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Ve stížnosti podané v roce 1945, jež následovala po konfiskaci majetku, rodina </w:t>
      </w:r>
      <w:proofErr w:type="spellStart"/>
      <w:r w:rsidRPr="007F7CE2">
        <w:rPr>
          <w:rFonts w:ascii="Times New Roman" w:hAnsi="Times New Roman" w:cs="Times New Roman"/>
          <w:color w:val="000000"/>
          <w:sz w:val="28"/>
          <w:szCs w:val="28"/>
        </w:rPr>
        <w:t>Lichtenštejnů</w:t>
      </w:r>
      <w:proofErr w:type="spellEnd"/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neochvějně tvrdila, že v jejich případě se jedná o chybné uplatnění dekretů.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Ani František Josef II.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ani </w:t>
      </w:r>
      <w:r w:rsidR="00715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jeho potomci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nikdy nezpochybňovali tzv. Benešovy dekrety jako takové.</w:t>
      </w:r>
      <w:r w:rsidRPr="007F7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705" w:rsidRPr="007F7CE2" w:rsidRDefault="00EA1705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7BDE" w:rsidRPr="007F7CE2" w:rsidRDefault="00F16AB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Rozsudek poslední instance Nejvyššího správního soudu č. 138/46 z roku 1951 ohledně majetku Františka Josefa II. říká, že je </w:t>
      </w:r>
      <w:r w:rsidR="00277095" w:rsidRPr="002770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„</w:t>
      </w:r>
      <w:r w:rsidRPr="007F7CE2">
        <w:rPr>
          <w:rFonts w:ascii="Times New Roman" w:hAnsi="Times New Roman" w:cs="Times New Roman"/>
          <w:bCs/>
          <w:i/>
          <w:color w:val="000000"/>
          <w:sz w:val="28"/>
          <w:szCs w:val="28"/>
        </w:rPr>
        <w:t>všeobecně známo, že dotčený je německé národnosti</w:t>
      </w:r>
      <w:r w:rsidR="00277095" w:rsidRPr="002770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“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Rozsudek soudu vychází z nejednoznačného 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„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potvrzení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Ministerstva vnitra, že František Josef II. a jeho otec Alois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</w:t>
      </w:r>
      <w:r w:rsidR="004E176C">
        <w:rPr>
          <w:rFonts w:ascii="Times New Roman" w:hAnsi="Times New Roman" w:cs="Times New Roman"/>
          <w:bCs/>
          <w:color w:val="000000"/>
          <w:sz w:val="28"/>
          <w:szCs w:val="28"/>
        </w:rPr>
        <w:t>štejn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mají opravdu zapsánu německou národnost. Se zjevnou neúctou k základním normám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soudního řízení byl příslušný originál sčítacího archu, nepodepsaný ani knížetem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ani žádným jiným členem rodiny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Lichtenštejnů</w:t>
      </w:r>
      <w:proofErr w:type="spellEnd"/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tudíž právně neplatný, zatajován jak před žalovaným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tak 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před samotným soudem.</w:t>
      </w:r>
    </w:p>
    <w:p w:rsidR="006E5B50" w:rsidRPr="007F7CE2" w:rsidRDefault="006E5B50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F8" w:rsidRPr="007F7CE2" w:rsidRDefault="0080351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Důkazem, který svědčí o politickém tlaku na soudce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je obsah spisů č. 138/46, 244/46, 245/46 a 246/46 Nejvyššího správního soudu. Veden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>ím sporů, které se týkaly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Františka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Josefa II. a také jeho otce Aloise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štejna</w:t>
      </w:r>
      <w:proofErr w:type="spellEnd"/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byl tehdy pověřen senátní rada Dr.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Pilík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Ten 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zhledem k vážným pochybením v rozhodnutích nižších instancí ve věci majetku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Lichtenštejnů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doporučil senátu NSS všechny rozsudky zrušit. Jeho původní návrh rozsudku v tomto smyslu je zaznamenán a přístupný v archivu Nejvyššího správního soudu. Na zasedání senátu Nejvyššího správního soudu, které se konalo mnohem později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až 8.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června 1949, </w:t>
      </w:r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tedy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více než rok po převzetí moci komunisty, Dr.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Pilík</w:t>
      </w:r>
      <w:proofErr w:type="spellEnd"/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od března 1948 člen Komunistické strany – náhle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obrátil a vydal nový rozsudek pot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vr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zující zamítnutí lichtenštejnských stížností. Po tomto rozsudku skončil </w:t>
      </w:r>
      <w:r w:rsidR="00820AC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Dr. Emil </w:t>
      </w:r>
      <w:proofErr w:type="spellStart"/>
      <w:r w:rsidR="00820AC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Sobička</w:t>
      </w:r>
      <w:proofErr w:type="spellEnd"/>
      <w:r w:rsidR="00820AC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20AC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známý a respektovaný pražský advokát, který rodinu </w:t>
      </w:r>
      <w:proofErr w:type="spellStart"/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Lichtenštejnů</w:t>
      </w:r>
      <w:proofErr w:type="spellEnd"/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 tomto případě zastupoval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, ve stalinistickém pracovním táboře.</w:t>
      </w:r>
    </w:p>
    <w:p w:rsidR="00307582" w:rsidRPr="007F7CE2" w:rsidRDefault="00307582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4F8" w:rsidRPr="007F7CE2" w:rsidRDefault="009354F8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Současný Nejvyšší správní soud ČR uvádí na svých internetových stránkách: </w:t>
      </w:r>
      <w:r w:rsidRPr="007F7CE2">
        <w:rPr>
          <w:rFonts w:ascii="Times New Roman" w:hAnsi="Times New Roman" w:cs="Times New Roman"/>
          <w:i/>
          <w:sz w:val="28"/>
          <w:szCs w:val="28"/>
        </w:rPr>
        <w:t xml:space="preserve">„z okolností známých bezprostředně po únorovém převratu z roku 1948 již bylo jasné, že nezávislá soudní kontrola veřejné správy a poskytování ochrany veřejným subjektivním právům občanů naprosto nemá v novém režimu </w:t>
      </w:r>
      <w:proofErr w:type="gramStart"/>
      <w:r w:rsidRPr="007F7CE2">
        <w:rPr>
          <w:rFonts w:ascii="Times New Roman" w:hAnsi="Times New Roman" w:cs="Times New Roman"/>
          <w:i/>
          <w:sz w:val="28"/>
          <w:szCs w:val="28"/>
        </w:rPr>
        <w:t>místo. (...) Po</w:t>
      </w:r>
      <w:proofErr w:type="gramEnd"/>
      <w:r w:rsidRPr="007F7CE2">
        <w:rPr>
          <w:rFonts w:ascii="Times New Roman" w:hAnsi="Times New Roman" w:cs="Times New Roman"/>
          <w:i/>
          <w:sz w:val="28"/>
          <w:szCs w:val="28"/>
        </w:rPr>
        <w:t xml:space="preserve"> tvrdých osobních čistkách v únoru 1948 a nuceném odchodu soudců z</w:t>
      </w:r>
      <w:r w:rsidR="004E176C">
        <w:rPr>
          <w:rFonts w:ascii="Times New Roman" w:hAnsi="Times New Roman" w:cs="Times New Roman"/>
          <w:i/>
          <w:sz w:val="28"/>
          <w:szCs w:val="28"/>
        </w:rPr>
        <w:t> </w:t>
      </w:r>
      <w:r w:rsidRPr="007F7CE2">
        <w:rPr>
          <w:rFonts w:ascii="Times New Roman" w:hAnsi="Times New Roman" w:cs="Times New Roman"/>
          <w:i/>
          <w:sz w:val="28"/>
          <w:szCs w:val="28"/>
        </w:rPr>
        <w:t>dob</w:t>
      </w:r>
      <w:r w:rsidR="004E1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F2B" w:rsidRPr="007F7CE2">
        <w:rPr>
          <w:rFonts w:ascii="Times New Roman" w:hAnsi="Times New Roman" w:cs="Times New Roman"/>
          <w:i/>
          <w:sz w:val="28"/>
          <w:szCs w:val="28"/>
        </w:rPr>
        <w:t>„</w:t>
      </w:r>
      <w:r w:rsidRPr="007F7CE2">
        <w:rPr>
          <w:rFonts w:ascii="Times New Roman" w:hAnsi="Times New Roman" w:cs="Times New Roman"/>
          <w:i/>
          <w:sz w:val="28"/>
          <w:szCs w:val="28"/>
        </w:rPr>
        <w:t>První republiky</w:t>
      </w:r>
      <w:r w:rsidR="001E4F2B">
        <w:rPr>
          <w:rFonts w:ascii="Times New Roman" w:hAnsi="Times New Roman" w:cs="Times New Roman"/>
          <w:i/>
          <w:sz w:val="28"/>
          <w:szCs w:val="28"/>
        </w:rPr>
        <w:t>“</w:t>
      </w:r>
      <w:r w:rsidRPr="007F7CE2">
        <w:rPr>
          <w:rFonts w:ascii="Times New Roman" w:hAnsi="Times New Roman" w:cs="Times New Roman"/>
          <w:i/>
          <w:sz w:val="28"/>
          <w:szCs w:val="28"/>
        </w:rPr>
        <w:t xml:space="preserve"> v červnu 1948 soud prakticky nefungoval</w:t>
      </w:r>
      <w:r w:rsidR="001E4F2B">
        <w:rPr>
          <w:rFonts w:ascii="Times New Roman" w:hAnsi="Times New Roman" w:cs="Times New Roman"/>
          <w:i/>
          <w:sz w:val="28"/>
          <w:szCs w:val="28"/>
        </w:rPr>
        <w:t>“</w:t>
      </w:r>
      <w:r w:rsidRPr="007F7CE2">
        <w:rPr>
          <w:rFonts w:ascii="Times New Roman" w:hAnsi="Times New Roman" w:cs="Times New Roman"/>
          <w:i/>
          <w:sz w:val="28"/>
          <w:szCs w:val="28"/>
        </w:rPr>
        <w:t>.</w:t>
      </w:r>
      <w:r w:rsidRPr="007F7CE2">
        <w:rPr>
          <w:rStyle w:val="Znakapoznpodarou"/>
          <w:rFonts w:ascii="Times New Roman" w:hAnsi="Times New Roman" w:cs="Times New Roman"/>
          <w:sz w:val="28"/>
          <w:szCs w:val="28"/>
        </w:rPr>
        <w:footnoteReference w:id="3"/>
      </w:r>
      <w:r w:rsidRPr="007F7C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54F8" w:rsidRPr="007F7CE2" w:rsidRDefault="009354F8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6D2" w:rsidRPr="007F7CE2" w:rsidRDefault="004D5A8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Důkazy ukazují na záměrné a systematické umlčov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ání svobodné soudní moci</w:t>
      </w:r>
      <w:r w:rsidR="00FC4910">
        <w:rPr>
          <w:rFonts w:ascii="Times New Roman" w:hAnsi="Times New Roman" w:cs="Times New Roman"/>
          <w:bCs/>
          <w:color w:val="000000"/>
          <w:sz w:val="28"/>
          <w:szCs w:val="28"/>
        </w:rPr>
        <w:t>, jejíž kořeny sahaly do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první č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eskoslovenské republiky, což zabránilo zákonnému rozhodnutí </w:t>
      </w:r>
      <w:r w:rsidR="001309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</w:t>
      </w:r>
      <w:r w:rsidR="00EC5DF0">
        <w:rPr>
          <w:rFonts w:ascii="Times New Roman" w:hAnsi="Times New Roman" w:cs="Times New Roman"/>
          <w:bCs/>
          <w:color w:val="000000"/>
          <w:sz w:val="28"/>
          <w:szCs w:val="28"/>
        </w:rPr>
        <w:t>lichtenštejnské konfiskaci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 poválečných letech. Nadace si je jistá, že v roce 2015 český Úřad pro zastupování státu ve věcech majetkových nebude trvat na argumentu, který vychází z rozsudku z roku 1951, který byl vynesen ve zjevné neúctě ke svobodné soudní moci. </w:t>
      </w:r>
    </w:p>
    <w:p w:rsidR="00FE192E" w:rsidRPr="007F7CE2" w:rsidRDefault="00F51248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34922130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Mezinárodněprávní aspekt</w:t>
      </w:r>
      <w:bookmarkEnd w:id="8"/>
    </w:p>
    <w:p w:rsidR="0080351E" w:rsidRPr="007F7CE2" w:rsidRDefault="0080351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E2">
        <w:rPr>
          <w:rFonts w:ascii="Times New Roman" w:hAnsi="Times New Roman" w:cs="Times New Roman"/>
          <w:sz w:val="28"/>
          <w:szCs w:val="28"/>
        </w:rPr>
        <w:t>Protože kníže František Josef II měl cizí státní příslušnost a byl hlavou suverénního státu uznaného Československem, byly a jsou i nadále relevantní i</w:t>
      </w:r>
      <w:r w:rsidR="001E4F2B">
        <w:rPr>
          <w:rFonts w:ascii="Times New Roman" w:hAnsi="Times New Roman" w:cs="Times New Roman"/>
          <w:sz w:val="28"/>
          <w:szCs w:val="28"/>
        </w:rPr>
        <w:t> </w:t>
      </w:r>
      <w:r w:rsidRPr="007F7CE2">
        <w:rPr>
          <w:rFonts w:ascii="Times New Roman" w:hAnsi="Times New Roman" w:cs="Times New Roman"/>
          <w:sz w:val="28"/>
          <w:szCs w:val="28"/>
        </w:rPr>
        <w:t xml:space="preserve">mezinárodněprávní aspekty. </w:t>
      </w:r>
    </w:p>
    <w:p w:rsidR="0080351E" w:rsidRPr="007F7CE2" w:rsidRDefault="0080351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DE" w:rsidRPr="007F7CE2" w:rsidRDefault="00FE192E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E2">
        <w:rPr>
          <w:rFonts w:ascii="Times New Roman" w:hAnsi="Times New Roman" w:cs="Times New Roman"/>
          <w:sz w:val="28"/>
          <w:szCs w:val="28"/>
        </w:rPr>
        <w:t xml:space="preserve">Ze záznamů </w:t>
      </w:r>
      <w:r w:rsidR="00EC5DF0">
        <w:rPr>
          <w:rFonts w:ascii="Times New Roman" w:hAnsi="Times New Roman" w:cs="Times New Roman"/>
          <w:sz w:val="28"/>
          <w:szCs w:val="28"/>
        </w:rPr>
        <w:t>někdejšího</w:t>
      </w:r>
      <w:r w:rsidRPr="007F7CE2">
        <w:rPr>
          <w:rFonts w:ascii="Times New Roman" w:hAnsi="Times New Roman" w:cs="Times New Roman"/>
          <w:sz w:val="28"/>
          <w:szCs w:val="28"/>
        </w:rPr>
        <w:t xml:space="preserve"> Ministerstva zahraničních věcí jednoznačně vyplývá, že Československo v roce 1938 uznalo a i v období po druhé světové válce nadále uznávalo Lichtenštejnsko jako samostatný a suverénní stát.</w:t>
      </w:r>
      <w:r w:rsidRPr="007F7CE2">
        <w:rPr>
          <w:rStyle w:val="Znakapoznpodarou"/>
          <w:rFonts w:ascii="Times New Roman" w:hAnsi="Times New Roman" w:cs="Times New Roman"/>
          <w:sz w:val="28"/>
          <w:szCs w:val="28"/>
        </w:rPr>
        <w:footnoteReference w:id="4"/>
      </w:r>
      <w:r w:rsidR="00441AF8" w:rsidRPr="007F7CE2">
        <w:rPr>
          <w:rFonts w:ascii="Times New Roman" w:hAnsi="Times New Roman" w:cs="Times New Roman"/>
          <w:sz w:val="28"/>
          <w:szCs w:val="28"/>
        </w:rPr>
        <w:t xml:space="preserve">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Od roku 1938 bylo Lichtenštejnské knížectví zastoupeno v Československé republice Švýcarskem. </w:t>
      </w:r>
      <w:r w:rsidRPr="007F7CE2">
        <w:rPr>
          <w:rFonts w:ascii="Times New Roman" w:hAnsi="Times New Roman" w:cs="Times New Roman"/>
          <w:sz w:val="28"/>
          <w:szCs w:val="28"/>
        </w:rPr>
        <w:t>Po vyřešení obtížného procesu pozemkové reformy z roku 1918 byly přátelské vztahy mezi oběma zeměmi opět podpořeny prezidentem Edvardem Benešem v</w:t>
      </w:r>
      <w:r w:rsidR="001E4F2B">
        <w:rPr>
          <w:rFonts w:ascii="Times New Roman" w:hAnsi="Times New Roman" w:cs="Times New Roman"/>
          <w:sz w:val="28"/>
          <w:szCs w:val="28"/>
        </w:rPr>
        <w:t> </w:t>
      </w:r>
      <w:r w:rsidRPr="007F7CE2">
        <w:rPr>
          <w:rFonts w:ascii="Times New Roman" w:hAnsi="Times New Roman" w:cs="Times New Roman"/>
          <w:sz w:val="28"/>
          <w:szCs w:val="28"/>
        </w:rPr>
        <w:t>gratulační nótě knížeti Františku Josef</w:t>
      </w:r>
      <w:r w:rsidR="004E176C">
        <w:rPr>
          <w:rFonts w:ascii="Times New Roman" w:hAnsi="Times New Roman" w:cs="Times New Roman"/>
          <w:sz w:val="28"/>
          <w:szCs w:val="28"/>
        </w:rPr>
        <w:t>ovi</w:t>
      </w:r>
      <w:r w:rsidRPr="007F7CE2">
        <w:rPr>
          <w:rFonts w:ascii="Times New Roman" w:hAnsi="Times New Roman" w:cs="Times New Roman"/>
          <w:sz w:val="28"/>
          <w:szCs w:val="28"/>
        </w:rPr>
        <w:t xml:space="preserve"> II</w:t>
      </w:r>
      <w:r w:rsidR="004E176C">
        <w:rPr>
          <w:rFonts w:ascii="Times New Roman" w:hAnsi="Times New Roman" w:cs="Times New Roman"/>
          <w:sz w:val="28"/>
          <w:szCs w:val="28"/>
        </w:rPr>
        <w:t>.</w:t>
      </w:r>
      <w:r w:rsidRPr="007F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CE2">
        <w:rPr>
          <w:rFonts w:ascii="Times New Roman" w:hAnsi="Times New Roman" w:cs="Times New Roman"/>
          <w:sz w:val="28"/>
          <w:szCs w:val="28"/>
        </w:rPr>
        <w:t>Lichtenštejnovi</w:t>
      </w:r>
      <w:proofErr w:type="spellEnd"/>
      <w:r w:rsidRPr="007F7CE2">
        <w:rPr>
          <w:rFonts w:ascii="Times New Roman" w:hAnsi="Times New Roman" w:cs="Times New Roman"/>
          <w:sz w:val="28"/>
          <w:szCs w:val="28"/>
        </w:rPr>
        <w:t xml:space="preserve"> z roku 1938, kdy</w:t>
      </w:r>
      <w:r w:rsidR="00441AF8" w:rsidRPr="007F7CE2">
        <w:rPr>
          <w:rFonts w:ascii="Times New Roman" w:hAnsi="Times New Roman" w:cs="Times New Roman"/>
          <w:sz w:val="28"/>
          <w:szCs w:val="28"/>
        </w:rPr>
        <w:t xml:space="preserve"> se</w:t>
      </w:r>
      <w:r w:rsidRPr="007F7CE2">
        <w:rPr>
          <w:rFonts w:ascii="Times New Roman" w:hAnsi="Times New Roman" w:cs="Times New Roman"/>
          <w:sz w:val="28"/>
          <w:szCs w:val="28"/>
        </w:rPr>
        <w:t xml:space="preserve"> chopil úřadu jako hlava státu.</w:t>
      </w:r>
    </w:p>
    <w:p w:rsidR="00FE192E" w:rsidRPr="007F7CE2" w:rsidRDefault="007932D4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Mezinárodní právo říká, že ani nesporný státní zájem nedává státu právo na odnětí majetku cizince, leč za plnou náhradu.</w:t>
      </w:r>
      <w:r w:rsidRPr="007F7CE2">
        <w:rPr>
          <w:rStyle w:val="Znakapoznpodarou"/>
          <w:rFonts w:ascii="Times New Roman" w:hAnsi="Times New Roman" w:cs="Times New Roman"/>
          <w:bCs/>
          <w:color w:val="000000"/>
          <w:sz w:val="28"/>
          <w:szCs w:val="28"/>
        </w:rPr>
        <w:footnoteReference w:id="5"/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Zadržování důkazu v případu konfi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skace, který byl uzavřen v roce 1951,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odporuje základním principům mezinárodního práva. </w:t>
      </w:r>
    </w:p>
    <w:p w:rsidR="00E17E81" w:rsidRPr="007F7CE2" w:rsidRDefault="00E17E81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23E4" w:rsidRPr="007F7CE2" w:rsidRDefault="009E7468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Svůj výčet možných důsledků konfiskace z pohledu mezinárodního práva uzavřela právní komise československého Ministerstva zahraničních 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věcí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 tím, že bez diplomatického uznání by lichtenštejnská strana sama o sobě byla příliš slabá a </w:t>
      </w:r>
      <w:r w:rsidR="00277095" w:rsidRPr="002770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„</w:t>
      </w:r>
      <w:r w:rsidRPr="007F7CE2">
        <w:rPr>
          <w:rFonts w:ascii="Times New Roman" w:hAnsi="Times New Roman" w:cs="Times New Roman"/>
          <w:i/>
          <w:sz w:val="28"/>
          <w:szCs w:val="28"/>
        </w:rPr>
        <w:t xml:space="preserve">neměla by fórum, před které by mohla ČSR </w:t>
      </w:r>
      <w:proofErr w:type="spellStart"/>
      <w:r w:rsidRPr="007F7CE2">
        <w:rPr>
          <w:rFonts w:ascii="Times New Roman" w:hAnsi="Times New Roman" w:cs="Times New Roman"/>
          <w:i/>
          <w:sz w:val="28"/>
          <w:szCs w:val="28"/>
        </w:rPr>
        <w:t>pohnati</w:t>
      </w:r>
      <w:proofErr w:type="spellEnd"/>
      <w:r w:rsidR="00277095" w:rsidRPr="002770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“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F7CE2">
        <w:rPr>
          <w:rStyle w:val="Znakapoznpodarou"/>
          <w:rFonts w:ascii="Times New Roman" w:hAnsi="Times New Roman" w:cs="Times New Roman"/>
          <w:sz w:val="28"/>
          <w:szCs w:val="28"/>
        </w:rPr>
        <w:footnoteReference w:id="6"/>
      </w:r>
    </w:p>
    <w:p w:rsidR="00A426CD" w:rsidRPr="007F7CE2" w:rsidRDefault="009E7468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34922131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t>Oblíbené stereotypy, jež byly motivem ke konfiskaci</w:t>
      </w:r>
      <w:bookmarkEnd w:id="9"/>
    </w:p>
    <w:p w:rsidR="0098172E" w:rsidRPr="007F7CE2" w:rsidRDefault="00A426CD" w:rsidP="007F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 české společnosti existují stále některé stereotypy týkající se rodiny 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Lichtenštejnů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. Formovaly se ve 20. století a mají původ v osobnosti Karla z</w:t>
      </w:r>
      <w:r w:rsidR="001E4F2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Lichtenštejna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(1569–1627), císařského místodržícího v Království českém po bitvě na Bílé hoře. Jeho účast v tribunálu, který soudil účastníky českého stavovského povstání, ho předurčila k roli „nositele negativního dějinného obrazu rodu“.</w:t>
      </w:r>
      <w:r w:rsidRPr="007F7CE2">
        <w:rPr>
          <w:rStyle w:val="Znakapoznpodarou"/>
          <w:rFonts w:ascii="Times New Roman" w:hAnsi="Times New Roman" w:cs="Times New Roman"/>
          <w:bCs/>
          <w:color w:val="000000"/>
          <w:sz w:val="28"/>
          <w:szCs w:val="28"/>
        </w:rPr>
        <w:footnoteReference w:id="7"/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 odsouhlasení a uzavření prvorepublikové pozemko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vé reformy, která připravila </w:t>
      </w:r>
      <w:proofErr w:type="spellStart"/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chtenštejny</w:t>
      </w:r>
      <w:proofErr w:type="spellEnd"/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 70 procent majetku v Československu</w:t>
      </w:r>
      <w:r w:rsidRPr="007F7CE2">
        <w:rPr>
          <w:rStyle w:val="Znakapoznpodarou"/>
          <w:rFonts w:ascii="Times New Roman" w:hAnsi="Times New Roman" w:cs="Times New Roman"/>
          <w:bCs/>
          <w:color w:val="000000"/>
          <w:sz w:val="28"/>
          <w:szCs w:val="28"/>
        </w:rPr>
        <w:footnoteReference w:id="8"/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, ztratily tyto stereotypy politickou přitažlivost, až se znovu objevily v podání komunistických vůdců, kte</w:t>
      </w:r>
      <w:r w:rsidR="00EC5DF0">
        <w:rPr>
          <w:rFonts w:ascii="Times New Roman" w:hAnsi="Times New Roman" w:cs="Times New Roman"/>
          <w:bCs/>
          <w:color w:val="000000"/>
          <w:sz w:val="28"/>
          <w:szCs w:val="28"/>
        </w:rPr>
        <w:t>ří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chtěli dát dodate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čné ospravedlnění </w:t>
      </w:r>
      <w:r w:rsidR="00EC5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další </w:t>
      </w:r>
      <w:r w:rsidR="00441AF8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konfiskaci li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chtenštejnského majetku po roce 1945</w:t>
      </w:r>
      <w:r w:rsidR="00EC5DF0">
        <w:rPr>
          <w:rFonts w:ascii="Times New Roman" w:hAnsi="Times New Roman" w:cs="Times New Roman"/>
          <w:bCs/>
          <w:color w:val="000000"/>
          <w:sz w:val="28"/>
          <w:szCs w:val="28"/>
        </w:rPr>
        <w:t>, navíc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 souvislosti s marxistickými teoriemi o třídním boji. Tyto stereotypy jsou v ostrém kontrastu ke zjištěním společné komise historiků, kterou ustavily obě vlády v roce 2009. </w:t>
      </w:r>
      <w:r w:rsidR="00EC5DF0">
        <w:rPr>
          <w:rFonts w:ascii="Times New Roman" w:hAnsi="Times New Roman" w:cs="Times New Roman"/>
          <w:bCs/>
          <w:color w:val="000000"/>
          <w:sz w:val="28"/>
          <w:szCs w:val="28"/>
        </w:rPr>
        <w:t>Práce historiků u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kazují na obrovský příspěvek rodu k rozvoji jižní Moravy</w:t>
      </w:r>
      <w:r w:rsidR="005316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k rozvoji takových míst, jakým je třeba </w:t>
      </w:r>
      <w:r w:rsidR="00EC5DF0">
        <w:rPr>
          <w:rFonts w:ascii="Times New Roman" w:hAnsi="Times New Roman" w:cs="Times New Roman"/>
          <w:bCs/>
          <w:color w:val="000000"/>
          <w:sz w:val="28"/>
          <w:szCs w:val="28"/>
        </w:rPr>
        <w:t>slavný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Lednicko-valti</w:t>
      </w:r>
      <w:r w:rsidR="00EC5DF0">
        <w:rPr>
          <w:rFonts w:ascii="Times New Roman" w:hAnsi="Times New Roman" w:cs="Times New Roman"/>
          <w:bCs/>
          <w:color w:val="000000"/>
          <w:sz w:val="28"/>
          <w:szCs w:val="28"/>
        </w:rPr>
        <w:t>cký areál chráněný UNESCO</w:t>
      </w:r>
      <w:r w:rsidR="0053169E">
        <w:rPr>
          <w:rFonts w:ascii="Times New Roman" w:hAnsi="Times New Roman" w:cs="Times New Roman"/>
          <w:bCs/>
          <w:color w:val="000000"/>
          <w:sz w:val="28"/>
          <w:szCs w:val="28"/>
        </w:rPr>
        <w:t>, který</w:t>
      </w:r>
      <w:r w:rsidR="0053169E" w:rsidRPr="005316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3169E">
        <w:rPr>
          <w:rFonts w:ascii="Times New Roman" w:hAnsi="Times New Roman" w:cs="Times New Roman"/>
          <w:bCs/>
          <w:color w:val="000000"/>
          <w:sz w:val="28"/>
          <w:szCs w:val="28"/>
        </w:rPr>
        <w:t>Lichtenštejnové</w:t>
      </w:r>
      <w:proofErr w:type="spellEnd"/>
      <w:r w:rsidR="005316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vlastnili již několik století před bitvou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na Bílé hoře.</w:t>
      </w:r>
      <w:r w:rsidR="005316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Ostatně jejich přítomnost na Moravě a péče o ni sahá až k českým přemyslovským králům.</w:t>
      </w:r>
    </w:p>
    <w:p w:rsidR="00E17E81" w:rsidRPr="007F7CE2" w:rsidRDefault="00E17E81" w:rsidP="007F7CE2">
      <w:pPr>
        <w:pStyle w:val="Nadpis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34922132"/>
      <w:r w:rsidRPr="007F7C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Přílohy:</w:t>
      </w:r>
      <w:bookmarkEnd w:id="10"/>
    </w:p>
    <w:p w:rsidR="00E17E81" w:rsidRPr="007F7CE2" w:rsidRDefault="00E17E81" w:rsidP="007F7C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Sčítací arch</w:t>
      </w:r>
    </w:p>
    <w:p w:rsidR="00E17E81" w:rsidRPr="007F7CE2" w:rsidRDefault="00E17E81" w:rsidP="007F7C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Důkazy podpisů</w:t>
      </w:r>
    </w:p>
    <w:p w:rsidR="00E17E81" w:rsidRPr="007F7CE2" w:rsidRDefault="00E17E81" w:rsidP="007F7C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Sdělení Ministerstva vnitra k údajnému obsahu </w:t>
      </w:r>
      <w:r w:rsidR="00B70DFD">
        <w:rPr>
          <w:rFonts w:ascii="Times New Roman" w:hAnsi="Times New Roman" w:cs="Times New Roman"/>
          <w:bCs/>
          <w:color w:val="000000"/>
          <w:sz w:val="28"/>
          <w:szCs w:val="28"/>
        </w:rPr>
        <w:t>s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čítacího archu</w:t>
      </w:r>
    </w:p>
    <w:p w:rsidR="00E17E81" w:rsidRPr="007F7CE2" w:rsidRDefault="00441AF8" w:rsidP="007F7C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Místní registrace </w:t>
      </w:r>
      <w:r w:rsidR="00B70DFD">
        <w:rPr>
          <w:rFonts w:ascii="Times New Roman" w:hAnsi="Times New Roman" w:cs="Times New Roman"/>
          <w:bCs/>
          <w:color w:val="000000"/>
          <w:sz w:val="28"/>
          <w:szCs w:val="28"/>
        </w:rPr>
        <w:t>„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li</w:t>
      </w:r>
      <w:r w:rsidR="00E17E81"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chtenštejnské státní příslušnosti</w:t>
      </w:r>
      <w:r w:rsidR="00B70DFD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</w:p>
    <w:p w:rsidR="004474BC" w:rsidRPr="007F7CE2" w:rsidRDefault="004474BC" w:rsidP="007F7CE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Tiskov</w:t>
      </w:r>
      <w:r w:rsidR="00981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á zpráva Nadace (11. listopadu </w:t>
      </w:r>
      <w:r w:rsidRPr="007F7CE2">
        <w:rPr>
          <w:rFonts w:ascii="Times New Roman" w:hAnsi="Times New Roman" w:cs="Times New Roman"/>
          <w:bCs/>
          <w:color w:val="000000"/>
          <w:sz w:val="28"/>
          <w:szCs w:val="28"/>
        </w:rPr>
        <w:t>2015)</w:t>
      </w:r>
    </w:p>
    <w:p w:rsidR="00CA6187" w:rsidRPr="007F7CE2" w:rsidRDefault="00CA6187" w:rsidP="007F7CE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590E" w:rsidRPr="007F7CE2" w:rsidRDefault="00B4590E" w:rsidP="007F7CE2">
      <w:pPr>
        <w:autoSpaceDE w:val="0"/>
        <w:autoSpaceDN w:val="0"/>
        <w:spacing w:line="360" w:lineRule="auto"/>
        <w:rPr>
          <w:rFonts w:ascii="Times New Roman" w:hAnsi="Times New Roman"/>
          <w:color w:val="222222"/>
          <w:sz w:val="28"/>
          <w:szCs w:val="28"/>
        </w:rPr>
      </w:pPr>
    </w:p>
    <w:p w:rsidR="00CA6187" w:rsidRPr="007F7CE2" w:rsidRDefault="00CA6187" w:rsidP="007F7CE2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CA6187" w:rsidRPr="007F7CE2" w:rsidSect="009D50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F5" w:rsidRDefault="00444DF5" w:rsidP="00E80C96">
      <w:pPr>
        <w:spacing w:after="0" w:line="240" w:lineRule="auto"/>
      </w:pPr>
      <w:r>
        <w:separator/>
      </w:r>
    </w:p>
  </w:endnote>
  <w:endnote w:type="continuationSeparator" w:id="0">
    <w:p w:rsidR="00444DF5" w:rsidRDefault="00444DF5" w:rsidP="00E8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6255455"/>
      <w:docPartObj>
        <w:docPartGallery w:val="Page Numbers (Bottom of Page)"/>
        <w:docPartUnique/>
      </w:docPartObj>
    </w:sdtPr>
    <w:sdtContent>
      <w:p w:rsidR="007F7CE2" w:rsidRDefault="007F7CE2">
        <w:pPr>
          <w:pStyle w:val="Zpat"/>
          <w:jc w:val="center"/>
        </w:pPr>
      </w:p>
      <w:p w:rsidR="007F7CE2" w:rsidRDefault="00277095">
        <w:pPr>
          <w:pStyle w:val="Zpat"/>
          <w:jc w:val="center"/>
        </w:pPr>
        <w:fldSimple w:instr="PAGE   \* MERGEFORMAT">
          <w:r w:rsidR="00EC3A5A" w:rsidRPr="00EC3A5A">
            <w:rPr>
              <w:noProof/>
              <w:lang w:val="de-DE"/>
            </w:rPr>
            <w:t>6</w:t>
          </w:r>
        </w:fldSimple>
      </w:p>
    </w:sdtContent>
  </w:sdt>
  <w:p w:rsidR="007F7CE2" w:rsidRDefault="007F7C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F5" w:rsidRDefault="00444DF5" w:rsidP="00E80C96">
      <w:pPr>
        <w:spacing w:after="0" w:line="240" w:lineRule="auto"/>
      </w:pPr>
      <w:r>
        <w:separator/>
      </w:r>
    </w:p>
  </w:footnote>
  <w:footnote w:type="continuationSeparator" w:id="0">
    <w:p w:rsidR="00444DF5" w:rsidRDefault="00444DF5" w:rsidP="00E80C96">
      <w:pPr>
        <w:spacing w:after="0" w:line="240" w:lineRule="auto"/>
      </w:pPr>
      <w:r>
        <w:continuationSeparator/>
      </w:r>
    </w:p>
  </w:footnote>
  <w:footnote w:id="1">
    <w:p w:rsidR="007F7CE2" w:rsidRPr="00EF01F2" w:rsidRDefault="007F7CE2" w:rsidP="00EF01F2">
      <w:pPr>
        <w:spacing w:before="100" w:beforeAutospacing="1" w:after="100" w:afterAutospacing="1"/>
        <w:rPr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0DFD"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apř. ČTK, 20. května 2014: </w:t>
      </w:r>
      <w:r w:rsidR="00884638"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</w:rPr>
        <w:t>Dvě země měly pouze formální diplomatický kontakt od roku 2009 kvůli Benešovým dekretům</w:t>
      </w:r>
      <w:r w:rsidR="00884638">
        <w:rPr>
          <w:rFonts w:ascii="Times New Roman" w:hAnsi="Times New Roman" w:cs="Times New Roman"/>
          <w:color w:val="000000"/>
          <w:sz w:val="18"/>
          <w:szCs w:val="18"/>
        </w:rPr>
        <w:t>“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2">
    <w:p w:rsidR="007F7CE2" w:rsidRPr="00EF01F2" w:rsidRDefault="007F7CE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84638">
        <w:rPr>
          <w:rFonts w:ascii="Times New Roman" w:hAnsi="Times New Roman" w:cs="Times New Roman"/>
          <w:color w:val="000000"/>
          <w:sz w:val="18"/>
          <w:szCs w:val="18"/>
        </w:rPr>
        <w:t>„</w:t>
      </w:r>
      <w:r>
        <w:rPr>
          <w:rFonts w:ascii="Times New Roman" w:hAnsi="Times New Roman" w:cs="Times New Roman"/>
          <w:color w:val="000000"/>
          <w:sz w:val="18"/>
          <w:szCs w:val="18"/>
        </w:rPr>
        <w:t>Společná komise historiků</w:t>
      </w:r>
      <w:r w:rsidR="00884638">
        <w:rPr>
          <w:rFonts w:ascii="Times New Roman" w:hAnsi="Times New Roman" w:cs="Times New Roman"/>
          <w:color w:val="000000"/>
          <w:sz w:val="18"/>
          <w:szCs w:val="18"/>
        </w:rPr>
        <w:t>“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byla ustavena českou a lichtenštejnskou vládou 7. dubna 2010. Komise zveřejnila svoji shrnující zprávu v roce 2014.</w:t>
      </w:r>
    </w:p>
  </w:footnote>
  <w:footnote w:id="3">
    <w:p w:rsidR="007F7CE2" w:rsidRPr="00690F2E" w:rsidRDefault="007F7CE2" w:rsidP="00EF01F2">
      <w:pPr>
        <w:spacing w:after="12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Oficiální internetové stránky Nejvyššího správního soudu České republiky (www.nssoud.cz)</w:t>
      </w:r>
    </w:p>
  </w:footnote>
  <w:footnote w:id="4">
    <w:p w:rsidR="007F7CE2" w:rsidRPr="00690F2E" w:rsidRDefault="007F7CE2" w:rsidP="005770CC">
      <w:pPr>
        <w:pStyle w:val="Textpoznpodarou"/>
        <w:ind w:left="142" w:hanging="142"/>
        <w:rPr>
          <w:rFonts w:ascii="Times New Roman" w:hAnsi="Times New Roman" w:cs="Times New Roman"/>
          <w:lang w:val="en-GB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Diplomatická korespondence mezi Československem a Švýcarskem, interní dokumenty Ministerstva zahraničních věcí.</w:t>
      </w:r>
    </w:p>
  </w:footnote>
  <w:footnote w:id="5">
    <w:p w:rsidR="007F7CE2" w:rsidRPr="00690F2E" w:rsidRDefault="007F7CE2" w:rsidP="005770CC">
      <w:pPr>
        <w:pStyle w:val="Textpoznpodarou"/>
        <w:ind w:left="142" w:hanging="142"/>
        <w:rPr>
          <w:rStyle w:val="Znakapoznpodarou"/>
          <w:rFonts w:ascii="Times New Roman" w:hAnsi="Times New Roman" w:cs="Times New Roman"/>
          <w:sz w:val="30"/>
          <w:szCs w:val="30"/>
        </w:rPr>
      </w:pPr>
      <w:r>
        <w:rPr>
          <w:rStyle w:val="Znakapoznpodarou"/>
          <w:rFonts w:ascii="Times New Roman" w:hAnsi="Times New Roman" w:cs="Times New Roman"/>
          <w:sz w:val="30"/>
          <w:szCs w:val="30"/>
        </w:rPr>
        <w:footnoteRef/>
      </w:r>
      <w:r w:rsidR="00EC5DF0">
        <w:rPr>
          <w:rStyle w:val="Znakapoznpodarou"/>
          <w:rFonts w:ascii="Times New Roman" w:hAnsi="Times New Roman" w:cs="Times New Roman"/>
          <w:sz w:val="30"/>
          <w:szCs w:val="30"/>
        </w:rPr>
        <w:t>Názor Komise právních ex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 xml:space="preserve">pertů z Kanceláře </w:t>
      </w:r>
      <w:r w:rsidR="00277095" w:rsidRPr="00277095">
        <w:rPr>
          <w:rFonts w:ascii="Times New Roman" w:hAnsi="Times New Roman" w:cs="Times New Roman"/>
          <w:sz w:val="30"/>
          <w:szCs w:val="30"/>
          <w:vertAlign w:val="superscript"/>
        </w:rPr>
        <w:t>č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eskoslovenského prezidenta č. C II až spis č. 128294 / 49A III 2,</w:t>
      </w:r>
    </w:p>
  </w:footnote>
  <w:footnote w:id="6">
    <w:p w:rsidR="007F7CE2" w:rsidRPr="00690F2E" w:rsidRDefault="007F7CE2" w:rsidP="00690F2E">
      <w:pPr>
        <w:pStyle w:val="Textpoznpodarou"/>
        <w:ind w:left="142" w:hanging="142"/>
        <w:rPr>
          <w:rStyle w:val="Znakapoznpodarou"/>
          <w:rFonts w:ascii="Times New Roman" w:hAnsi="Times New Roman" w:cs="Times New Roman"/>
          <w:sz w:val="30"/>
          <w:szCs w:val="30"/>
        </w:rPr>
      </w:pPr>
      <w:r>
        <w:rPr>
          <w:rStyle w:val="Znakapoznpodarou"/>
          <w:rFonts w:ascii="Times New Roman" w:hAnsi="Times New Roman" w:cs="Times New Roman"/>
          <w:sz w:val="30"/>
          <w:szCs w:val="30"/>
        </w:rPr>
        <w:footnoteRef/>
      </w:r>
      <w:r>
        <w:rPr>
          <w:rStyle w:val="Znakapoznpodarou"/>
          <w:rFonts w:ascii="Times New Roman" w:hAnsi="Times New Roman" w:cs="Times New Roman"/>
          <w:sz w:val="30"/>
          <w:szCs w:val="30"/>
        </w:rPr>
        <w:t xml:space="preserve"> Prohlášení právního oddělení Ministerstva zahraničních věcí, po spis. 141.145 / 50-A / M-3</w:t>
      </w:r>
    </w:p>
  </w:footnote>
  <w:footnote w:id="7">
    <w:p w:rsidR="007F7CE2" w:rsidRPr="00690F2E" w:rsidRDefault="007F7CE2" w:rsidP="00690F2E">
      <w:pPr>
        <w:pStyle w:val="Textpoznpodarou"/>
        <w:ind w:left="142" w:hanging="142"/>
        <w:rPr>
          <w:rStyle w:val="Znakapoznpodarou"/>
          <w:rFonts w:ascii="Times New Roman" w:hAnsi="Times New Roman" w:cs="Times New Roman"/>
          <w:sz w:val="30"/>
          <w:szCs w:val="30"/>
        </w:rPr>
      </w:pPr>
      <w:r>
        <w:rPr>
          <w:rStyle w:val="Znakapoznpodarou"/>
          <w:rFonts w:ascii="Times New Roman" w:hAnsi="Times New Roman" w:cs="Times New Roman"/>
          <w:sz w:val="30"/>
          <w:szCs w:val="30"/>
        </w:rPr>
        <w:footnoteRef/>
      </w:r>
      <w:r>
        <w:rPr>
          <w:rStyle w:val="Znakapoznpodarou"/>
          <w:rFonts w:ascii="Times New Roman" w:hAnsi="Times New Roman" w:cs="Times New Roman"/>
          <w:sz w:val="30"/>
          <w:szCs w:val="30"/>
        </w:rPr>
        <w:t xml:space="preserve"> Závěrečná zpráva </w:t>
      </w:r>
      <w:r w:rsidR="00277095" w:rsidRPr="00277095">
        <w:rPr>
          <w:rFonts w:ascii="Times New Roman" w:hAnsi="Times New Roman" w:cs="Times New Roman"/>
          <w:sz w:val="30"/>
          <w:szCs w:val="30"/>
          <w:vertAlign w:val="superscript"/>
        </w:rPr>
        <w:t>„s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polečné komise historiků</w:t>
      </w:r>
      <w:r w:rsidR="00B70DFD" w:rsidRPr="00B70DFD">
        <w:rPr>
          <w:rFonts w:ascii="Times New Roman" w:hAnsi="Times New Roman" w:cs="Times New Roman"/>
          <w:bCs/>
          <w:sz w:val="30"/>
          <w:szCs w:val="30"/>
          <w:vertAlign w:val="superscript"/>
        </w:rPr>
        <w:t>“</w:t>
      </w:r>
      <w:r w:rsidR="00B70DFD">
        <w:rPr>
          <w:rStyle w:val="Znakapoznpodarou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2010</w:t>
      </w:r>
    </w:p>
  </w:footnote>
  <w:footnote w:id="8">
    <w:p w:rsidR="007F7CE2" w:rsidRPr="00690F2E" w:rsidRDefault="007F7CE2" w:rsidP="00690F2E">
      <w:pPr>
        <w:pStyle w:val="Textpoznpodarou"/>
        <w:ind w:left="142" w:hanging="142"/>
        <w:rPr>
          <w:rStyle w:val="Znakapoznpodarou"/>
          <w:rFonts w:ascii="Times New Roman" w:hAnsi="Times New Roman" w:cs="Times New Roman"/>
          <w:sz w:val="30"/>
          <w:szCs w:val="30"/>
        </w:rPr>
      </w:pPr>
      <w:r>
        <w:rPr>
          <w:rStyle w:val="Znakapoznpodarou"/>
          <w:rFonts w:ascii="Times New Roman" w:hAnsi="Times New Roman" w:cs="Times New Roman"/>
          <w:sz w:val="30"/>
          <w:szCs w:val="30"/>
        </w:rPr>
        <w:footnoteRef/>
      </w:r>
      <w:r w:rsidR="00EC5DF0">
        <w:rPr>
          <w:rStyle w:val="Znakapoznpodarou"/>
          <w:rFonts w:ascii="Times New Roman" w:hAnsi="Times New Roman" w:cs="Times New Roman"/>
          <w:sz w:val="30"/>
          <w:szCs w:val="30"/>
        </w:rPr>
        <w:t xml:space="preserve"> Rod </w:t>
      </w:r>
      <w:proofErr w:type="spellStart"/>
      <w:r w:rsidR="00EC5DF0">
        <w:rPr>
          <w:rStyle w:val="Znakapoznpodarou"/>
          <w:rFonts w:ascii="Times New Roman" w:hAnsi="Times New Roman" w:cs="Times New Roman"/>
          <w:sz w:val="30"/>
          <w:szCs w:val="30"/>
        </w:rPr>
        <w:t>Li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chtenštejnů</w:t>
      </w:r>
      <w:proofErr w:type="spellEnd"/>
      <w:r>
        <w:rPr>
          <w:rStyle w:val="Znakapoznpodarou"/>
          <w:rFonts w:ascii="Times New Roman" w:hAnsi="Times New Roman" w:cs="Times New Roman"/>
          <w:sz w:val="30"/>
          <w:szCs w:val="30"/>
        </w:rPr>
        <w:t xml:space="preserve"> přišel celkem o cca 65</w:t>
      </w:r>
      <w:r w:rsidR="00277095" w:rsidRPr="00277095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530 ha půdy, což zahrnovala přibližně 20</w:t>
      </w:r>
      <w:r w:rsidR="00B70DFD">
        <w:rPr>
          <w:rStyle w:val="Znakapoznpodarou"/>
          <w:rFonts w:ascii="Times New Roman" w:hAnsi="Times New Roman" w:cs="Times New Roman"/>
          <w:sz w:val="30"/>
          <w:szCs w:val="30"/>
        </w:rPr>
        <w:t>.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340 ha zemědělské půdy a</w:t>
      </w:r>
      <w:r w:rsidR="00B70DFD">
        <w:rPr>
          <w:rFonts w:ascii="Times New Roman" w:hAnsi="Times New Roman" w:cs="Times New Roman"/>
          <w:sz w:val="30"/>
          <w:szCs w:val="30"/>
        </w:rPr>
        <w:t> 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45</w:t>
      </w:r>
      <w:r w:rsidR="00B70DFD">
        <w:rPr>
          <w:rStyle w:val="Znakapoznpodarou"/>
          <w:rFonts w:ascii="Times New Roman" w:hAnsi="Times New Roman" w:cs="Times New Roman"/>
          <w:sz w:val="30"/>
          <w:szCs w:val="30"/>
        </w:rPr>
        <w:t>.</w:t>
      </w:r>
      <w:r>
        <w:rPr>
          <w:rStyle w:val="Znakapoznpodarou"/>
          <w:rFonts w:ascii="Times New Roman" w:hAnsi="Times New Roman" w:cs="Times New Roman"/>
          <w:sz w:val="30"/>
          <w:szCs w:val="30"/>
        </w:rPr>
        <w:t>190 ha lesů.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E2" w:rsidRDefault="007F7CE2">
    <w:pPr>
      <w:pStyle w:val="Zhlav"/>
      <w:rPr>
        <w:lang w:val="de-DE"/>
      </w:rPr>
    </w:pPr>
    <w:r>
      <w:rPr>
        <w:noProof/>
      </w:rPr>
      <w:drawing>
        <wp:inline distT="0" distB="0" distL="0" distR="0">
          <wp:extent cx="1295400" cy="508000"/>
          <wp:effectExtent l="0" t="0" r="0" b="6350"/>
          <wp:docPr id="1" name="obrázek 1" descr="loga-barevno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a-barevnos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7CE2" w:rsidRDefault="007F7CE2">
    <w:pPr>
      <w:pStyle w:val="Zhlav"/>
      <w:rPr>
        <w:lang w:val="de-DE"/>
      </w:rPr>
    </w:pPr>
  </w:p>
  <w:p w:rsidR="007F7CE2" w:rsidRPr="00850EEF" w:rsidRDefault="007F7CE2">
    <w:pPr>
      <w:pStyle w:val="Zhlav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D5B"/>
    <w:multiLevelType w:val="hybridMultilevel"/>
    <w:tmpl w:val="DF9288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328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E4482"/>
    <w:multiLevelType w:val="hybridMultilevel"/>
    <w:tmpl w:val="C2B058C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17CC"/>
    <w:multiLevelType w:val="hybridMultilevel"/>
    <w:tmpl w:val="3D7E55B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130C"/>
    <w:multiLevelType w:val="hybridMultilevel"/>
    <w:tmpl w:val="DA44EEF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76C9"/>
    <w:multiLevelType w:val="hybridMultilevel"/>
    <w:tmpl w:val="C126819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12E60"/>
    <w:multiLevelType w:val="hybridMultilevel"/>
    <w:tmpl w:val="CC0202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C6C1D"/>
    <w:multiLevelType w:val="hybridMultilevel"/>
    <w:tmpl w:val="1D300F40"/>
    <w:lvl w:ilvl="0" w:tplc="58868A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B75A4"/>
    <w:multiLevelType w:val="hybridMultilevel"/>
    <w:tmpl w:val="3CA4D86C"/>
    <w:lvl w:ilvl="0" w:tplc="F16A16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15F5E"/>
    <w:multiLevelType w:val="hybridMultilevel"/>
    <w:tmpl w:val="BA389602"/>
    <w:lvl w:ilvl="0" w:tplc="19C4D56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1193D"/>
    <w:multiLevelType w:val="hybridMultilevel"/>
    <w:tmpl w:val="E584B7D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0396E"/>
    <w:multiLevelType w:val="hybridMultilevel"/>
    <w:tmpl w:val="B4AEE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55198"/>
    <w:multiLevelType w:val="hybridMultilevel"/>
    <w:tmpl w:val="1798969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92408"/>
    <w:multiLevelType w:val="hybridMultilevel"/>
    <w:tmpl w:val="15E40E9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4026B"/>
    <w:multiLevelType w:val="hybridMultilevel"/>
    <w:tmpl w:val="66462A76"/>
    <w:lvl w:ilvl="0" w:tplc="359861B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0E04"/>
    <w:multiLevelType w:val="hybridMultilevel"/>
    <w:tmpl w:val="D624A8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D31A2"/>
    <w:multiLevelType w:val="hybridMultilevel"/>
    <w:tmpl w:val="8626D4A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A2FB1"/>
    <w:multiLevelType w:val="hybridMultilevel"/>
    <w:tmpl w:val="97A8B2C8"/>
    <w:lvl w:ilvl="0" w:tplc="04070013">
      <w:start w:val="1"/>
      <w:numFmt w:val="upperRoman"/>
      <w:lvlText w:val="%1."/>
      <w:lvlJc w:val="righ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756955"/>
    <w:multiLevelType w:val="hybridMultilevel"/>
    <w:tmpl w:val="DF9288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328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8028D"/>
    <w:multiLevelType w:val="hybridMultilevel"/>
    <w:tmpl w:val="FE94081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04A41"/>
    <w:multiLevelType w:val="hybridMultilevel"/>
    <w:tmpl w:val="D58AADD0"/>
    <w:lvl w:ilvl="0" w:tplc="F16A16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7C52C82"/>
    <w:multiLevelType w:val="hybridMultilevel"/>
    <w:tmpl w:val="FD3A35E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36C25"/>
    <w:multiLevelType w:val="hybridMultilevel"/>
    <w:tmpl w:val="084497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A0539"/>
    <w:multiLevelType w:val="hybridMultilevel"/>
    <w:tmpl w:val="22E4D3D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1083"/>
    <w:multiLevelType w:val="hybridMultilevel"/>
    <w:tmpl w:val="489CD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1706"/>
    <w:multiLevelType w:val="hybridMultilevel"/>
    <w:tmpl w:val="D49E2A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7D5A3A"/>
    <w:multiLevelType w:val="hybridMultilevel"/>
    <w:tmpl w:val="66462A76"/>
    <w:lvl w:ilvl="0" w:tplc="359861B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23"/>
  </w:num>
  <w:num w:numId="5">
    <w:abstractNumId w:val="0"/>
  </w:num>
  <w:num w:numId="6">
    <w:abstractNumId w:val="7"/>
  </w:num>
  <w:num w:numId="7">
    <w:abstractNumId w:val="19"/>
  </w:num>
  <w:num w:numId="8">
    <w:abstractNumId w:val="21"/>
  </w:num>
  <w:num w:numId="9">
    <w:abstractNumId w:val="12"/>
  </w:num>
  <w:num w:numId="10">
    <w:abstractNumId w:val="1"/>
  </w:num>
  <w:num w:numId="11">
    <w:abstractNumId w:val="18"/>
  </w:num>
  <w:num w:numId="12">
    <w:abstractNumId w:val="3"/>
  </w:num>
  <w:num w:numId="13">
    <w:abstractNumId w:val="4"/>
  </w:num>
  <w:num w:numId="14">
    <w:abstractNumId w:val="22"/>
  </w:num>
  <w:num w:numId="15">
    <w:abstractNumId w:val="2"/>
  </w:num>
  <w:num w:numId="16">
    <w:abstractNumId w:val="11"/>
  </w:num>
  <w:num w:numId="17">
    <w:abstractNumId w:val="9"/>
  </w:num>
  <w:num w:numId="18">
    <w:abstractNumId w:val="20"/>
  </w:num>
  <w:num w:numId="19">
    <w:abstractNumId w:val="5"/>
  </w:num>
  <w:num w:numId="20">
    <w:abstractNumId w:val="15"/>
  </w:num>
  <w:num w:numId="21">
    <w:abstractNumId w:val="16"/>
  </w:num>
  <w:num w:numId="22">
    <w:abstractNumId w:val="25"/>
  </w:num>
  <w:num w:numId="23">
    <w:abstractNumId w:val="13"/>
  </w:num>
  <w:num w:numId="24">
    <w:abstractNumId w:val="6"/>
  </w:num>
  <w:num w:numId="25">
    <w:abstractNumId w:val="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192E"/>
    <w:rsid w:val="00005515"/>
    <w:rsid w:val="000116D2"/>
    <w:rsid w:val="0004559B"/>
    <w:rsid w:val="0005778E"/>
    <w:rsid w:val="000D696F"/>
    <w:rsid w:val="00126858"/>
    <w:rsid w:val="00130952"/>
    <w:rsid w:val="001558F3"/>
    <w:rsid w:val="001752C5"/>
    <w:rsid w:val="00181FA5"/>
    <w:rsid w:val="001C26A9"/>
    <w:rsid w:val="001C7583"/>
    <w:rsid w:val="001E0BF5"/>
    <w:rsid w:val="001E4F2B"/>
    <w:rsid w:val="001E6E3A"/>
    <w:rsid w:val="002019E8"/>
    <w:rsid w:val="00221421"/>
    <w:rsid w:val="00230F4B"/>
    <w:rsid w:val="002507AF"/>
    <w:rsid w:val="00266D94"/>
    <w:rsid w:val="002711DC"/>
    <w:rsid w:val="00277095"/>
    <w:rsid w:val="002828B9"/>
    <w:rsid w:val="002853AA"/>
    <w:rsid w:val="00297B77"/>
    <w:rsid w:val="002A1CA2"/>
    <w:rsid w:val="002C4182"/>
    <w:rsid w:val="002C474B"/>
    <w:rsid w:val="002F31B0"/>
    <w:rsid w:val="00307582"/>
    <w:rsid w:val="00320019"/>
    <w:rsid w:val="00330AEF"/>
    <w:rsid w:val="00333C77"/>
    <w:rsid w:val="003566E4"/>
    <w:rsid w:val="00361437"/>
    <w:rsid w:val="003A4319"/>
    <w:rsid w:val="003C4D4E"/>
    <w:rsid w:val="003D6676"/>
    <w:rsid w:val="003F22AC"/>
    <w:rsid w:val="00441AF8"/>
    <w:rsid w:val="00444DF5"/>
    <w:rsid w:val="004474BC"/>
    <w:rsid w:val="004703DD"/>
    <w:rsid w:val="0047291F"/>
    <w:rsid w:val="00494789"/>
    <w:rsid w:val="004A532D"/>
    <w:rsid w:val="004C153E"/>
    <w:rsid w:val="004D5A8E"/>
    <w:rsid w:val="004E176C"/>
    <w:rsid w:val="004E384E"/>
    <w:rsid w:val="004E7347"/>
    <w:rsid w:val="004F23E4"/>
    <w:rsid w:val="004F4AFA"/>
    <w:rsid w:val="0053169E"/>
    <w:rsid w:val="00543852"/>
    <w:rsid w:val="00555E47"/>
    <w:rsid w:val="0055699D"/>
    <w:rsid w:val="00563FAC"/>
    <w:rsid w:val="00572A4A"/>
    <w:rsid w:val="005770CC"/>
    <w:rsid w:val="005874BB"/>
    <w:rsid w:val="00596D8A"/>
    <w:rsid w:val="005A12C5"/>
    <w:rsid w:val="005C38A0"/>
    <w:rsid w:val="005C6212"/>
    <w:rsid w:val="00611579"/>
    <w:rsid w:val="00657D59"/>
    <w:rsid w:val="00690F2E"/>
    <w:rsid w:val="006A3A48"/>
    <w:rsid w:val="006A4A5F"/>
    <w:rsid w:val="006B1400"/>
    <w:rsid w:val="006D1238"/>
    <w:rsid w:val="006E1E07"/>
    <w:rsid w:val="006E5B50"/>
    <w:rsid w:val="00715C79"/>
    <w:rsid w:val="00723647"/>
    <w:rsid w:val="00726460"/>
    <w:rsid w:val="00756BCA"/>
    <w:rsid w:val="00765E4F"/>
    <w:rsid w:val="007762BF"/>
    <w:rsid w:val="007913CE"/>
    <w:rsid w:val="007932D4"/>
    <w:rsid w:val="007B12D9"/>
    <w:rsid w:val="007C6C74"/>
    <w:rsid w:val="007D0177"/>
    <w:rsid w:val="007D0480"/>
    <w:rsid w:val="007F7CE2"/>
    <w:rsid w:val="0080351E"/>
    <w:rsid w:val="00812E00"/>
    <w:rsid w:val="00820AC8"/>
    <w:rsid w:val="0082230B"/>
    <w:rsid w:val="0083398C"/>
    <w:rsid w:val="00840CC7"/>
    <w:rsid w:val="00850EEF"/>
    <w:rsid w:val="008643C1"/>
    <w:rsid w:val="00871B42"/>
    <w:rsid w:val="00884638"/>
    <w:rsid w:val="008B50FE"/>
    <w:rsid w:val="008C3EBA"/>
    <w:rsid w:val="008D1BBF"/>
    <w:rsid w:val="008D5449"/>
    <w:rsid w:val="008E30FA"/>
    <w:rsid w:val="008E6EEF"/>
    <w:rsid w:val="008F312C"/>
    <w:rsid w:val="00925244"/>
    <w:rsid w:val="009302D3"/>
    <w:rsid w:val="009354F8"/>
    <w:rsid w:val="0097493B"/>
    <w:rsid w:val="0098172E"/>
    <w:rsid w:val="0098196E"/>
    <w:rsid w:val="00997194"/>
    <w:rsid w:val="009A6F09"/>
    <w:rsid w:val="009C58D6"/>
    <w:rsid w:val="009D20A3"/>
    <w:rsid w:val="009D5047"/>
    <w:rsid w:val="009E7468"/>
    <w:rsid w:val="009F65A6"/>
    <w:rsid w:val="009F709C"/>
    <w:rsid w:val="00A02AF1"/>
    <w:rsid w:val="00A06259"/>
    <w:rsid w:val="00A13F42"/>
    <w:rsid w:val="00A2463B"/>
    <w:rsid w:val="00A27E31"/>
    <w:rsid w:val="00A41FCF"/>
    <w:rsid w:val="00A426CD"/>
    <w:rsid w:val="00A47EDD"/>
    <w:rsid w:val="00A63098"/>
    <w:rsid w:val="00A672E3"/>
    <w:rsid w:val="00A90B15"/>
    <w:rsid w:val="00A965E1"/>
    <w:rsid w:val="00A9757A"/>
    <w:rsid w:val="00AD229B"/>
    <w:rsid w:val="00AD7BDE"/>
    <w:rsid w:val="00AE15A6"/>
    <w:rsid w:val="00AE59AA"/>
    <w:rsid w:val="00AF349D"/>
    <w:rsid w:val="00B013D9"/>
    <w:rsid w:val="00B039F3"/>
    <w:rsid w:val="00B351CD"/>
    <w:rsid w:val="00B4590E"/>
    <w:rsid w:val="00B54AE7"/>
    <w:rsid w:val="00B6306F"/>
    <w:rsid w:val="00B70DFD"/>
    <w:rsid w:val="00B72B31"/>
    <w:rsid w:val="00B94EE0"/>
    <w:rsid w:val="00B97548"/>
    <w:rsid w:val="00BC57DE"/>
    <w:rsid w:val="00BC770B"/>
    <w:rsid w:val="00BF5061"/>
    <w:rsid w:val="00C25212"/>
    <w:rsid w:val="00C40779"/>
    <w:rsid w:val="00C82078"/>
    <w:rsid w:val="00C843E1"/>
    <w:rsid w:val="00C94E61"/>
    <w:rsid w:val="00CA0B6C"/>
    <w:rsid w:val="00CA6187"/>
    <w:rsid w:val="00CB1D43"/>
    <w:rsid w:val="00CB4BF9"/>
    <w:rsid w:val="00CC0D34"/>
    <w:rsid w:val="00CC5287"/>
    <w:rsid w:val="00D252B6"/>
    <w:rsid w:val="00D43B0A"/>
    <w:rsid w:val="00D46F50"/>
    <w:rsid w:val="00D546E5"/>
    <w:rsid w:val="00D62591"/>
    <w:rsid w:val="00DB1BE1"/>
    <w:rsid w:val="00DE4BF8"/>
    <w:rsid w:val="00DE631D"/>
    <w:rsid w:val="00E17E81"/>
    <w:rsid w:val="00E515BC"/>
    <w:rsid w:val="00E55D4A"/>
    <w:rsid w:val="00E80C96"/>
    <w:rsid w:val="00E84F55"/>
    <w:rsid w:val="00EA1705"/>
    <w:rsid w:val="00EA19C9"/>
    <w:rsid w:val="00EA78F2"/>
    <w:rsid w:val="00EC3A5A"/>
    <w:rsid w:val="00EC5DF0"/>
    <w:rsid w:val="00EE5557"/>
    <w:rsid w:val="00EF01F2"/>
    <w:rsid w:val="00EF4971"/>
    <w:rsid w:val="00EF783A"/>
    <w:rsid w:val="00F16ABE"/>
    <w:rsid w:val="00F47E57"/>
    <w:rsid w:val="00F51248"/>
    <w:rsid w:val="00F607F1"/>
    <w:rsid w:val="00F621C2"/>
    <w:rsid w:val="00F93711"/>
    <w:rsid w:val="00F96BF7"/>
    <w:rsid w:val="00FB7B42"/>
    <w:rsid w:val="00FC4910"/>
    <w:rsid w:val="00FD0312"/>
    <w:rsid w:val="00FD6585"/>
    <w:rsid w:val="00FE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B15"/>
  </w:style>
  <w:style w:type="paragraph" w:styleId="Nadpis1">
    <w:name w:val="heading 1"/>
    <w:basedOn w:val="Normln"/>
    <w:next w:val="Normln"/>
    <w:link w:val="Nadpis1Char"/>
    <w:uiPriority w:val="9"/>
    <w:qFormat/>
    <w:rsid w:val="004D5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4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C96"/>
  </w:style>
  <w:style w:type="paragraph" w:styleId="Zpat">
    <w:name w:val="footer"/>
    <w:basedOn w:val="Normln"/>
    <w:link w:val="ZpatChar"/>
    <w:uiPriority w:val="99"/>
    <w:unhideWhenUsed/>
    <w:rsid w:val="00E8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C96"/>
  </w:style>
  <w:style w:type="paragraph" w:styleId="Odstavecseseznamem">
    <w:name w:val="List Paragraph"/>
    <w:basedOn w:val="Normln"/>
    <w:uiPriority w:val="34"/>
    <w:qFormat/>
    <w:rsid w:val="00266D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2B3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D5A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D5A8E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D5A8E"/>
    <w:pPr>
      <w:tabs>
        <w:tab w:val="left" w:pos="709"/>
        <w:tab w:val="right" w:leader="dot" w:pos="8931"/>
      </w:tabs>
      <w:spacing w:after="100"/>
      <w:ind w:left="-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52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52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5244"/>
    <w:rPr>
      <w:vertAlign w:val="superscript"/>
    </w:rPr>
  </w:style>
  <w:style w:type="character" w:customStyle="1" w:styleId="shorttext">
    <w:name w:val="short_text"/>
    <w:basedOn w:val="Standardnpsmoodstavce"/>
    <w:rsid w:val="00925244"/>
  </w:style>
  <w:style w:type="character" w:customStyle="1" w:styleId="hps">
    <w:name w:val="hps"/>
    <w:basedOn w:val="Standardnpsmoodstavce"/>
    <w:rsid w:val="00925244"/>
  </w:style>
  <w:style w:type="character" w:customStyle="1" w:styleId="atn">
    <w:name w:val="atn"/>
    <w:basedOn w:val="Standardnpsmoodstavce"/>
    <w:rsid w:val="007762BF"/>
  </w:style>
  <w:style w:type="character" w:styleId="Odkaznakoment">
    <w:name w:val="annotation reference"/>
    <w:basedOn w:val="Standardnpsmoodstavce"/>
    <w:uiPriority w:val="99"/>
    <w:semiHidden/>
    <w:unhideWhenUsed/>
    <w:rsid w:val="00330A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AEF"/>
    <w:rPr>
      <w:b/>
      <w:bCs/>
    </w:rPr>
  </w:style>
  <w:style w:type="paragraph" w:styleId="Revize">
    <w:name w:val="Revision"/>
    <w:hidden/>
    <w:uiPriority w:val="99"/>
    <w:semiHidden/>
    <w:rsid w:val="001E4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dvard_Bene%C5%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B752-4F0D-4DAC-A53E-7788844B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2046</Words>
  <Characters>12074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michal.ruzicka</dc:creator>
  <cp:lastModifiedBy>michal.ruzicka</cp:lastModifiedBy>
  <cp:revision>4</cp:revision>
  <cp:lastPrinted>2015-10-26T09:09:00Z</cp:lastPrinted>
  <dcterms:created xsi:type="dcterms:W3CDTF">2015-11-10T13:14:00Z</dcterms:created>
  <dcterms:modified xsi:type="dcterms:W3CDTF">2015-11-10T13:15:00Z</dcterms:modified>
</cp:coreProperties>
</file>